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pBdr/>
        <w:spacing w:lineRule="auto" w:line="276"/>
        <w:rPr>
          <w:b/>
          <w:bCs/>
          <w:i w:val="false"/>
          <w:iCs w:val="false"/>
          <w:color w:val="000000"/>
          <w:sz w:val="22"/>
          <w:szCs w:val="22"/>
        </w:rPr>
      </w:pPr>
      <w:r>
        <w:rPr>
          <w:b/>
          <w:bCs/>
          <w:i w:val="false"/>
          <w:iCs w:val="false"/>
          <w:color w:val="000000"/>
          <w:sz w:val="22"/>
          <w:szCs w:val="22"/>
        </w:rPr>
      </w:r>
    </w:p>
    <w:tbl>
      <w:tblPr>
        <w:tblStyle w:val="afffffffffe"/>
        <w:tblW w:w="9300" w:type="dxa"/>
        <w:jc w:val="start"/>
        <w:tblInd w:w="-249" w:type="dxa"/>
        <w:tblLayout w:type="fixed"/>
        <w:tblCellMar>
          <w:top w:w="0" w:type="dxa"/>
          <w:start w:w="108" w:type="dxa"/>
          <w:bottom w:w="0" w:type="dxa"/>
          <w:end w:w="108" w:type="dxa"/>
        </w:tblCellMar>
        <w:tblLook w:val="0000" w:firstRow="0" w:noVBand="0" w:lastRow="0" w:firstColumn="0" w:lastColumn="0" w:noHBand="0"/>
      </w:tblPr>
      <w:tblGrid>
        <w:gridCol w:w="9300"/>
      </w:tblGrid>
      <w:tr>
        <w:trPr>
          <w:trHeight w:val="390" w:hRule="atLeast"/>
        </w:trPr>
        <w:tc>
          <w:tcPr>
            <w:tcW w:w="9300" w:type="dxa"/>
            <w:tcBorders/>
            <w:shd w:color="auto" w:fill="00B0F0" w:val="clear"/>
          </w:tcPr>
          <w:p>
            <w:pPr>
              <w:pStyle w:val="Normal"/>
              <w:pBdr/>
              <w:jc w:val="both"/>
              <w:rPr>
                <w:i w:val="false"/>
                <w:iCs w:val="false"/>
                <w:color w:val="FFFFFF"/>
                <w:sz w:val="24"/>
                <w:szCs w:val="24"/>
              </w:rPr>
            </w:pPr>
            <w:r>
              <w:rPr>
                <w:b/>
                <w:bCs/>
                <w:i w:val="false"/>
                <w:iCs w:val="false"/>
                <w:color w:val="FFFFFF"/>
                <w:sz w:val="28"/>
                <w:szCs w:val="28"/>
              </w:rPr>
              <w:t>ÍNDICE</w:t>
            </w:r>
          </w:p>
        </w:tc>
      </w:tr>
    </w:tbl>
    <w:p>
      <w:pPr>
        <w:pStyle w:val="Normal"/>
        <w:pBdr/>
        <w:jc w:val="both"/>
        <w:rPr>
          <w:b/>
          <w:bCs/>
          <w:i w:val="false"/>
          <w:iCs w:val="false"/>
          <w:color w:val="1F497D"/>
          <w:sz w:val="24"/>
          <w:szCs w:val="24"/>
        </w:rPr>
      </w:pPr>
      <w:r>
        <w:rPr>
          <w:b/>
          <w:bCs/>
          <w:i w:val="false"/>
          <w:iCs w:val="false"/>
          <w:color w:val="1F497D"/>
          <w:sz w:val="24"/>
          <w:szCs w:val="24"/>
        </w:rPr>
      </w:r>
    </w:p>
    <w:p>
      <w:pPr>
        <w:pStyle w:val="Normal"/>
        <w:pBdr/>
        <w:jc w:val="both"/>
        <w:rPr>
          <w:b/>
          <w:bCs/>
          <w:i w:val="false"/>
          <w:iCs w:val="false"/>
          <w:color w:val="1F497D"/>
          <w:sz w:val="24"/>
          <w:szCs w:val="24"/>
        </w:rPr>
      </w:pPr>
      <w:r>
        <w:rPr>
          <w:b/>
          <w:bCs/>
          <w:i w:val="false"/>
          <w:iCs w:val="false"/>
          <w:color w:val="1F497D"/>
          <w:sz w:val="24"/>
          <w:szCs w:val="24"/>
        </w:rPr>
      </w:r>
    </w:p>
    <w:p>
      <w:pPr>
        <w:pStyle w:val="Normal"/>
        <w:pBdr/>
        <w:spacing w:lineRule="auto" w:line="360"/>
        <w:jc w:val="both"/>
        <w:rPr>
          <w:i w:val="false"/>
          <w:iCs w:val="false"/>
          <w:color w:val="000000"/>
          <w:sz w:val="22"/>
          <w:szCs w:val="22"/>
        </w:rPr>
      </w:pPr>
      <w:hyperlink w:anchor="bookmark=id.35nkun2">
        <w:r>
          <w:rPr>
            <w:rStyle w:val="Style"/>
            <w:i w:val="false"/>
            <w:iCs w:val="false"/>
            <w:color w:val="0000FF"/>
            <w:sz w:val="22"/>
            <w:szCs w:val="22"/>
            <w:u w:val="single"/>
          </w:rPr>
          <w:t>Anexo II</w:t>
        </w:r>
      </w:hyperlink>
      <w:r>
        <w:rPr>
          <w:i w:val="false"/>
          <w:iCs w:val="false"/>
          <w:color w:val="000000"/>
          <w:sz w:val="22"/>
          <w:szCs w:val="22"/>
        </w:rPr>
        <w:tab/>
        <w:t xml:space="preserve">Datos identificativos de la empresa participante en la licitación </w:t>
      </w:r>
    </w:p>
    <w:p>
      <w:pPr>
        <w:pStyle w:val="Normal"/>
        <w:pBdr/>
        <w:spacing w:lineRule="auto" w:line="360"/>
        <w:jc w:val="both"/>
        <w:rPr>
          <w:i w:val="false"/>
          <w:iCs w:val="false"/>
          <w:color w:val="000000"/>
          <w:sz w:val="22"/>
          <w:szCs w:val="22"/>
        </w:rPr>
      </w:pPr>
      <w:hyperlink w:anchor="bookmark=id.1ksv4uv">
        <w:r>
          <w:rPr>
            <w:rStyle w:val="Style"/>
            <w:i w:val="false"/>
            <w:iCs w:val="false"/>
            <w:color w:val="0000FF"/>
            <w:sz w:val="22"/>
            <w:szCs w:val="22"/>
            <w:u w:val="single"/>
          </w:rPr>
          <w:t>Anexo III</w:t>
        </w:r>
      </w:hyperlink>
      <w:r>
        <w:rPr>
          <w:i w:val="false"/>
          <w:iCs w:val="false"/>
          <w:color w:val="1F497D"/>
          <w:sz w:val="22"/>
          <w:szCs w:val="22"/>
        </w:rPr>
        <w:t xml:space="preserve"> </w:t>
      </w:r>
      <w:r>
        <w:rPr>
          <w:i w:val="false"/>
          <w:iCs w:val="false"/>
          <w:color w:val="000080"/>
          <w:sz w:val="22"/>
          <w:szCs w:val="22"/>
        </w:rPr>
        <w:tab/>
        <w:t xml:space="preserve"> </w:t>
      </w:r>
      <w:r>
        <w:rPr>
          <w:i w:val="false"/>
          <w:iCs w:val="false"/>
          <w:color w:val="000000"/>
          <w:sz w:val="22"/>
          <w:szCs w:val="22"/>
        </w:rPr>
        <w:t>Admisión de variantes</w:t>
      </w:r>
    </w:p>
    <w:p>
      <w:pPr>
        <w:pStyle w:val="Normal"/>
        <w:pBdr/>
        <w:spacing w:lineRule="auto" w:line="360"/>
        <w:jc w:val="both"/>
        <w:rPr>
          <w:i w:val="false"/>
          <w:iCs w:val="false"/>
          <w:color w:val="000000"/>
          <w:sz w:val="22"/>
          <w:szCs w:val="22"/>
        </w:rPr>
      </w:pPr>
      <w:hyperlink w:anchor="bookmark=id.44sinio">
        <w:r>
          <w:rPr>
            <w:rStyle w:val="Style"/>
            <w:i w:val="false"/>
            <w:iCs w:val="false"/>
            <w:color w:val="0000FF"/>
            <w:sz w:val="22"/>
            <w:szCs w:val="22"/>
            <w:u w:val="single"/>
          </w:rPr>
          <w:t>Anexo IV</w:t>
        </w:r>
      </w:hyperlink>
      <w:r>
        <w:rPr>
          <w:i w:val="false"/>
          <w:iCs w:val="false"/>
          <w:color w:val="000000"/>
          <w:sz w:val="22"/>
          <w:szCs w:val="22"/>
        </w:rPr>
        <w:t xml:space="preserve"> </w:t>
        <w:tab/>
        <w:t xml:space="preserve">Documentación a presentar por las empresas </w:t>
      </w:r>
    </w:p>
    <w:p>
      <w:pPr>
        <w:pStyle w:val="Normal"/>
        <w:pBdr/>
        <w:spacing w:lineRule="auto" w:line="360"/>
        <w:ind w:hanging="1410" w:start="2118"/>
        <w:jc w:val="both"/>
        <w:rPr>
          <w:i w:val="false"/>
          <w:iCs w:val="false"/>
          <w:sz w:val="22"/>
          <w:szCs w:val="22"/>
        </w:rPr>
      </w:pPr>
      <w:hyperlink w:anchor="bookmark=id.gjdgxs">
        <w:r>
          <w:rPr>
            <w:rStyle w:val="Style"/>
            <w:i w:val="false"/>
            <w:iCs w:val="false"/>
            <w:color w:val="0000FF"/>
            <w:sz w:val="22"/>
            <w:szCs w:val="22"/>
            <w:u w:val="single"/>
          </w:rPr>
          <w:t>Anexo IV</w:t>
        </w:r>
      </w:hyperlink>
      <w:r>
        <w:rPr>
          <w:i w:val="false"/>
          <w:iCs w:val="false"/>
          <w:color w:val="0000FF"/>
          <w:sz w:val="22"/>
          <w:szCs w:val="22"/>
          <w:u w:val="single"/>
        </w:rPr>
        <w:t>.1</w:t>
      </w:r>
      <w:r>
        <w:rPr>
          <w:i w:val="false"/>
          <w:iCs w:val="false"/>
          <w:color w:val="0000FF"/>
          <w:sz w:val="22"/>
          <w:szCs w:val="22"/>
        </w:rPr>
        <w:tab/>
      </w:r>
      <w:r>
        <w:rPr>
          <w:i w:val="false"/>
          <w:iCs w:val="false"/>
          <w:sz w:val="22"/>
          <w:szCs w:val="22"/>
        </w:rPr>
        <w:t>Documentación empresa/s propuesta/s como adjudicataria/s</w:t>
      </w:r>
    </w:p>
    <w:p>
      <w:pPr>
        <w:pStyle w:val="Normal"/>
        <w:spacing w:lineRule="auto" w:line="360"/>
        <w:jc w:val="both"/>
        <w:rPr>
          <w:i w:val="false"/>
          <w:iCs w:val="false"/>
          <w:sz w:val="22"/>
          <w:szCs w:val="22"/>
        </w:rPr>
      </w:pPr>
      <w:r>
        <w:rPr>
          <w:i w:val="false"/>
          <w:iCs w:val="false"/>
          <w:sz w:val="22"/>
          <w:szCs w:val="22"/>
        </w:rPr>
        <w:t xml:space="preserve"> </w:t>
      </w:r>
      <w:r>
        <w:rPr>
          <w:i w:val="false"/>
          <w:iCs w:val="false"/>
          <w:sz w:val="22"/>
          <w:szCs w:val="22"/>
        </w:rPr>
        <w:tab/>
      </w:r>
      <w:r>
        <w:fldChar w:fldCharType="begin"/>
      </w:r>
      <w:r>
        <w:rPr>
          <w:rStyle w:val="Style"/>
          <w:i w:val="false"/>
          <w:iCs w:val="false"/>
          <w:color w:val="0000FF"/>
          <w:sz w:val="22"/>
          <w:szCs w:val="22"/>
          <w:u w:val="single"/>
        </w:rPr>
        <w:instrText xml:space="preserve"> HYPERLINK "https://docs.google.com/document/d/1Wg_t0su5s2_BYOefudsd8FgXtopuBwPU/edit" \l "bookmark=id.3rdcrjn"</w:instrText>
      </w:r>
      <w:r>
        <w:rPr>
          <w:rStyle w:val="Style"/>
          <w:i w:val="false"/>
          <w:iCs w:val="false"/>
          <w:color w:val="0000FF"/>
          <w:sz w:val="22"/>
          <w:szCs w:val="22"/>
          <w:u w:val="single"/>
        </w:rPr>
        <w:fldChar w:fldCharType="separate"/>
      </w:r>
      <w:r>
        <w:rPr>
          <w:rStyle w:val="Style"/>
          <w:i w:val="false"/>
          <w:iCs w:val="false"/>
          <w:color w:val="0000FF"/>
          <w:sz w:val="22"/>
          <w:szCs w:val="22"/>
          <w:u w:val="single"/>
        </w:rPr>
        <w:t>Anexo IV.2</w:t>
      </w:r>
      <w:r>
        <w:rPr>
          <w:rStyle w:val="Style"/>
          <w:i w:val="false"/>
          <w:iCs w:val="false"/>
          <w:color w:val="0000FF"/>
          <w:sz w:val="22"/>
          <w:szCs w:val="22"/>
          <w:u w:val="single"/>
        </w:rPr>
        <w:fldChar w:fldCharType="end"/>
      </w:r>
      <w:r>
        <w:rPr>
          <w:i w:val="false"/>
          <w:iCs w:val="false"/>
          <w:sz w:val="22"/>
          <w:szCs w:val="22"/>
        </w:rPr>
        <w:tab/>
        <w:t xml:space="preserve">Declaración Responsable General de la empresa adjudicataria </w:t>
      </w:r>
    </w:p>
    <w:p>
      <w:pPr>
        <w:pStyle w:val="Normal"/>
        <w:spacing w:lineRule="auto" w:line="360"/>
        <w:jc w:val="both"/>
        <w:rPr>
          <w:i w:val="false"/>
          <w:iCs w:val="false"/>
          <w:sz w:val="22"/>
          <w:szCs w:val="22"/>
        </w:rPr>
      </w:pPr>
      <w:r>
        <w:rPr>
          <w:i w:val="false"/>
          <w:iCs w:val="false"/>
          <w:sz w:val="22"/>
          <w:szCs w:val="22"/>
        </w:rPr>
        <w:t xml:space="preserve">     </w:t>
      </w:r>
      <w:r>
        <w:rPr>
          <w:i w:val="false"/>
          <w:iCs w:val="false"/>
          <w:sz w:val="22"/>
          <w:szCs w:val="22"/>
        </w:rPr>
        <w:tab/>
      </w:r>
      <w:r>
        <w:fldChar w:fldCharType="begin"/>
      </w:r>
      <w:r>
        <w:rPr>
          <w:rStyle w:val="Style"/>
          <w:i w:val="false"/>
          <w:iCs w:val="false"/>
          <w:color w:val="0000FF"/>
          <w:sz w:val="22"/>
          <w:szCs w:val="22"/>
          <w:u w:val="single"/>
        </w:rPr>
        <w:instrText xml:space="preserve"> HYPERLINK "https://docs.google.com/document/d/1Wg_t0su5s2_BYOefudsd8FgXtopuBwPU/edit" \l "bookmark=id.3rdcrjn"</w:instrText>
      </w:r>
      <w:r>
        <w:rPr>
          <w:rStyle w:val="Style"/>
          <w:i w:val="false"/>
          <w:iCs w:val="false"/>
          <w:color w:val="0000FF"/>
          <w:sz w:val="22"/>
          <w:szCs w:val="22"/>
          <w:u w:val="single"/>
        </w:rPr>
        <w:fldChar w:fldCharType="separate"/>
      </w:r>
      <w:r>
        <w:rPr>
          <w:rStyle w:val="Style"/>
          <w:i w:val="false"/>
          <w:iCs w:val="false"/>
          <w:color w:val="0000FF"/>
          <w:sz w:val="22"/>
          <w:szCs w:val="22"/>
          <w:u w:val="single"/>
        </w:rPr>
        <w:t>Anexo IV.2.bis.</w:t>
      </w:r>
      <w:r>
        <w:rPr>
          <w:rStyle w:val="Style"/>
          <w:i w:val="false"/>
          <w:iCs w:val="false"/>
          <w:color w:val="0000FF"/>
          <w:sz w:val="22"/>
          <w:szCs w:val="22"/>
          <w:u w:val="single"/>
        </w:rPr>
        <w:fldChar w:fldCharType="end"/>
      </w:r>
      <w:r>
        <w:rPr>
          <w:i w:val="false"/>
          <w:iCs w:val="false"/>
          <w:sz w:val="22"/>
          <w:szCs w:val="22"/>
        </w:rPr>
        <w:t xml:space="preserve"> Declaración Responsable subcontratación </w:t>
      </w:r>
    </w:p>
    <w:p>
      <w:pPr>
        <w:pStyle w:val="Normal"/>
        <w:pBdr/>
        <w:spacing w:lineRule="auto" w:line="360"/>
        <w:ind w:hanging="1410" w:start="2118"/>
        <w:jc w:val="both"/>
        <w:rPr>
          <w:i w:val="false"/>
          <w:iCs w:val="false"/>
          <w:sz w:val="22"/>
          <w:szCs w:val="22"/>
        </w:rPr>
      </w:pPr>
      <w:hyperlink w:anchor="bookmark=id.z337ya">
        <w:r>
          <w:rPr>
            <w:rStyle w:val="Style"/>
            <w:i w:val="false"/>
            <w:iCs w:val="false"/>
            <w:color w:val="0000FF"/>
            <w:sz w:val="22"/>
            <w:szCs w:val="22"/>
            <w:u w:val="single"/>
          </w:rPr>
          <w:t>Anexo IV.</w:t>
        </w:r>
      </w:hyperlink>
      <w:r>
        <w:rPr>
          <w:i w:val="false"/>
          <w:iCs w:val="false"/>
          <w:color w:val="0000FF"/>
          <w:sz w:val="22"/>
          <w:szCs w:val="22"/>
          <w:u w:val="single"/>
        </w:rPr>
        <w:t>3</w:t>
      </w:r>
      <w:r>
        <w:rPr>
          <w:i w:val="false"/>
          <w:iCs w:val="false"/>
          <w:sz w:val="22"/>
          <w:szCs w:val="22"/>
        </w:rPr>
        <w:t xml:space="preserve"> </w:t>
        <w:tab/>
        <w:t>Modelo normalizado de presentación de la documentación de capacidad empresas licitadoras</w:t>
      </w:r>
    </w:p>
    <w:p>
      <w:pPr>
        <w:pStyle w:val="Normal"/>
        <w:spacing w:lineRule="auto" w:line="360"/>
        <w:ind w:hanging="1410" w:start="2118"/>
        <w:jc w:val="both"/>
        <w:rPr>
          <w:i w:val="false"/>
          <w:iCs w:val="false"/>
          <w:sz w:val="22"/>
          <w:szCs w:val="22"/>
        </w:rPr>
      </w:pPr>
      <w:r>
        <w:rPr>
          <w:i w:val="false"/>
          <w:iCs w:val="false"/>
          <w:color w:val="0000FF"/>
          <w:sz w:val="22"/>
          <w:szCs w:val="22"/>
          <w:u w:val="single"/>
        </w:rPr>
        <w:t>Anexo IV.4</w:t>
      </w:r>
      <w:r>
        <w:rPr>
          <w:i w:val="false"/>
          <w:iCs w:val="false"/>
          <w:color w:val="0000FF"/>
          <w:sz w:val="22"/>
          <w:szCs w:val="22"/>
        </w:rPr>
        <w:tab/>
      </w:r>
      <w:r>
        <w:rPr>
          <w:i w:val="false"/>
          <w:iCs w:val="false"/>
          <w:sz w:val="22"/>
          <w:szCs w:val="22"/>
        </w:rPr>
        <w:t>Declaración responsable relativa a la normativa en materia de protección de datos de carácter personal</w:t>
      </w:r>
    </w:p>
    <w:p>
      <w:pPr>
        <w:pStyle w:val="Normal"/>
        <w:pBdr/>
        <w:spacing w:lineRule="auto" w:line="360"/>
        <w:ind w:hanging="1410" w:start="1410"/>
        <w:jc w:val="both"/>
        <w:rPr>
          <w:i w:val="false"/>
          <w:iCs w:val="false"/>
          <w:strike/>
          <w:color w:val="1F497D"/>
          <w:sz w:val="22"/>
          <w:szCs w:val="22"/>
        </w:rPr>
      </w:pPr>
      <w:hyperlink w:anchor="bookmark=id.30j0zll">
        <w:r>
          <w:rPr>
            <w:rStyle w:val="Style"/>
            <w:i w:val="false"/>
            <w:iCs w:val="false"/>
            <w:color w:val="0000FF"/>
            <w:sz w:val="22"/>
            <w:szCs w:val="22"/>
            <w:u w:val="single"/>
          </w:rPr>
          <w:t>Anexo V</w:t>
        </w:r>
      </w:hyperlink>
      <w:r>
        <w:rPr>
          <w:i w:val="false"/>
          <w:iCs w:val="false"/>
          <w:color w:val="1F497D"/>
          <w:sz w:val="22"/>
          <w:szCs w:val="22"/>
        </w:rPr>
        <w:tab/>
      </w:r>
      <w:r>
        <w:rPr>
          <w:i w:val="false"/>
          <w:iCs w:val="false"/>
          <w:color w:val="000000"/>
          <w:sz w:val="22"/>
          <w:szCs w:val="22"/>
        </w:rPr>
        <w:t>Modelo de proposición económica y demás criterios automáticos sometidos a fórmulas</w:t>
      </w:r>
    </w:p>
    <w:p>
      <w:pPr>
        <w:pStyle w:val="Normal"/>
        <w:pBdr/>
        <w:spacing w:lineRule="auto" w:line="360"/>
        <w:ind w:hanging="1410" w:start="1410"/>
        <w:jc w:val="both"/>
        <w:rPr>
          <w:i w:val="false"/>
          <w:iCs w:val="false"/>
          <w:color w:val="000000"/>
          <w:sz w:val="24"/>
          <w:szCs w:val="24"/>
        </w:rPr>
      </w:pPr>
      <w:hyperlink w:anchor="bookmark=id.1fob9te">
        <w:r>
          <w:rPr>
            <w:rStyle w:val="Style"/>
            <w:i w:val="false"/>
            <w:iCs w:val="false"/>
            <w:color w:val="0000FF"/>
            <w:sz w:val="22"/>
            <w:szCs w:val="22"/>
            <w:u w:val="single"/>
          </w:rPr>
          <w:t>Anexo VI</w:t>
        </w:r>
      </w:hyperlink>
      <w:r>
        <w:rPr>
          <w:i w:val="false"/>
          <w:iCs w:val="false"/>
          <w:color w:val="000080"/>
          <w:sz w:val="22"/>
          <w:szCs w:val="22"/>
        </w:rPr>
        <w:tab/>
      </w:r>
      <w:r>
        <w:rPr>
          <w:i w:val="false"/>
          <w:iCs w:val="false"/>
          <w:color w:val="000000"/>
          <w:sz w:val="22"/>
          <w:szCs w:val="22"/>
        </w:rPr>
        <w:t>Condiciones especiales de ejecución</w:t>
      </w:r>
    </w:p>
    <w:p>
      <w:pPr>
        <w:pStyle w:val="Normal"/>
        <w:pBdr/>
        <w:spacing w:lineRule="auto" w:line="360"/>
        <w:ind w:hanging="1410" w:start="1410"/>
        <w:jc w:val="both"/>
        <w:rPr>
          <w:i w:val="false"/>
          <w:iCs w:val="false"/>
          <w:color w:val="000080"/>
          <w:sz w:val="22"/>
          <w:szCs w:val="22"/>
        </w:rPr>
      </w:pPr>
      <w:hyperlink w:anchor="bookmark=id.3znysh7">
        <w:r>
          <w:rPr>
            <w:rStyle w:val="Style"/>
            <w:i w:val="false"/>
            <w:iCs w:val="false"/>
            <w:color w:val="0000FF"/>
            <w:sz w:val="22"/>
            <w:szCs w:val="22"/>
            <w:u w:val="single"/>
          </w:rPr>
          <w:t>Anexo VII</w:t>
        </w:r>
      </w:hyperlink>
      <w:r>
        <w:rPr>
          <w:i w:val="false"/>
          <w:iCs w:val="false"/>
          <w:color w:val="000000"/>
          <w:sz w:val="22"/>
          <w:szCs w:val="22"/>
        </w:rPr>
        <w:tab/>
        <w:t xml:space="preserve">Documento Europeo Único de Contratación </w:t>
      </w:r>
    </w:p>
    <w:p>
      <w:pPr>
        <w:pStyle w:val="Normal"/>
        <w:pBdr/>
        <w:spacing w:lineRule="auto" w:line="360"/>
        <w:ind w:hanging="1410" w:start="1410"/>
        <w:jc w:val="both"/>
        <w:rPr>
          <w:i w:val="false"/>
          <w:iCs w:val="false"/>
          <w:color w:val="000000"/>
          <w:sz w:val="24"/>
          <w:szCs w:val="24"/>
        </w:rPr>
      </w:pPr>
      <w:hyperlink w:anchor="bookmark=id.2et92p0">
        <w:r>
          <w:rPr>
            <w:rStyle w:val="Style"/>
            <w:i w:val="false"/>
            <w:iCs w:val="false"/>
            <w:color w:val="0000FF"/>
            <w:sz w:val="22"/>
            <w:szCs w:val="22"/>
            <w:u w:val="single"/>
          </w:rPr>
          <w:t>Anexo VIII</w:t>
        </w:r>
      </w:hyperlink>
      <w:r>
        <w:rPr>
          <w:i w:val="false"/>
          <w:iCs w:val="false"/>
          <w:color w:val="000080"/>
          <w:sz w:val="22"/>
          <w:szCs w:val="22"/>
        </w:rPr>
        <w:tab/>
      </w:r>
      <w:r>
        <w:rPr>
          <w:i w:val="false"/>
          <w:iCs w:val="false"/>
          <w:color w:val="000000"/>
          <w:sz w:val="22"/>
          <w:szCs w:val="22"/>
        </w:rPr>
        <w:t>Penalidades</w:t>
        <w:tab/>
      </w:r>
    </w:p>
    <w:p>
      <w:pPr>
        <w:pStyle w:val="Normal"/>
        <w:pBdr/>
        <w:spacing w:lineRule="auto" w:line="360"/>
        <w:ind w:hanging="1410" w:start="1410"/>
        <w:jc w:val="both"/>
        <w:rPr>
          <w:i w:val="false"/>
          <w:iCs w:val="false"/>
          <w:color w:val="000080"/>
          <w:sz w:val="22"/>
          <w:szCs w:val="22"/>
        </w:rPr>
      </w:pPr>
      <w:hyperlink w:anchor="bookmark=id.3rdcrjn">
        <w:r>
          <w:rPr>
            <w:rStyle w:val="Style"/>
            <w:i w:val="false"/>
            <w:iCs w:val="false"/>
            <w:color w:val="0000FF"/>
            <w:sz w:val="22"/>
            <w:szCs w:val="22"/>
            <w:u w:val="single"/>
          </w:rPr>
          <w:t>Anexo IX</w:t>
        </w:r>
      </w:hyperlink>
      <w:r>
        <w:rPr>
          <w:i w:val="false"/>
          <w:iCs w:val="false"/>
          <w:color w:val="000080"/>
          <w:sz w:val="22"/>
          <w:szCs w:val="22"/>
        </w:rPr>
        <w:tab/>
      </w:r>
      <w:r>
        <w:rPr>
          <w:i w:val="false"/>
          <w:iCs w:val="false"/>
          <w:color w:val="000000"/>
          <w:sz w:val="22"/>
          <w:szCs w:val="22"/>
        </w:rPr>
        <w:t>Modificaciones contractuales previstas</w:t>
      </w:r>
    </w:p>
    <w:p>
      <w:pPr>
        <w:pStyle w:val="Normal"/>
        <w:pBdr/>
        <w:spacing w:lineRule="auto" w:line="360"/>
        <w:ind w:hanging="1410" w:start="1410"/>
        <w:jc w:val="both"/>
        <w:rPr>
          <w:i w:val="false"/>
          <w:iCs w:val="false"/>
          <w:color w:val="000000"/>
          <w:sz w:val="24"/>
          <w:szCs w:val="24"/>
        </w:rPr>
      </w:pPr>
      <w:hyperlink w:anchor="bookmark=id.26in1rg">
        <w:r>
          <w:rPr>
            <w:rStyle w:val="Style"/>
            <w:i w:val="false"/>
            <w:iCs w:val="false"/>
            <w:color w:val="0000FF"/>
            <w:sz w:val="22"/>
            <w:szCs w:val="22"/>
            <w:u w:val="single"/>
          </w:rPr>
          <w:t>Anexo X</w:t>
        </w:r>
      </w:hyperlink>
      <w:r>
        <w:rPr>
          <w:i w:val="false"/>
          <w:iCs w:val="false"/>
          <w:color w:val="000080"/>
          <w:sz w:val="22"/>
          <w:szCs w:val="22"/>
        </w:rPr>
        <w:tab/>
      </w:r>
      <w:r>
        <w:rPr>
          <w:i w:val="false"/>
          <w:iCs w:val="false"/>
          <w:color w:val="000000"/>
          <w:sz w:val="22"/>
          <w:szCs w:val="22"/>
        </w:rPr>
        <w:t>Causas específicas de resolución contractual</w:t>
      </w:r>
    </w:p>
    <w:p>
      <w:pPr>
        <w:pStyle w:val="Normal"/>
        <w:pBdr/>
        <w:spacing w:lineRule="auto" w:line="360"/>
        <w:ind w:hanging="1410" w:start="1410"/>
        <w:jc w:val="both"/>
        <w:rPr>
          <w:i w:val="false"/>
          <w:iCs w:val="false"/>
          <w:color w:val="000080"/>
          <w:sz w:val="22"/>
          <w:szCs w:val="22"/>
        </w:rPr>
      </w:pPr>
      <w:hyperlink w:anchor="bookmark=id.lnxbz9">
        <w:r>
          <w:rPr>
            <w:rStyle w:val="Style"/>
            <w:i w:val="false"/>
            <w:iCs w:val="false"/>
            <w:color w:val="0000FF"/>
            <w:sz w:val="22"/>
            <w:szCs w:val="22"/>
            <w:u w:val="single"/>
          </w:rPr>
          <w:t>Anexo XI</w:t>
        </w:r>
      </w:hyperlink>
      <w:r>
        <w:rPr>
          <w:i w:val="false"/>
          <w:iCs w:val="false"/>
          <w:color w:val="000080"/>
          <w:sz w:val="22"/>
          <w:szCs w:val="22"/>
        </w:rPr>
        <w:tab/>
      </w:r>
      <w:r>
        <w:rPr>
          <w:i w:val="false"/>
          <w:iCs w:val="false"/>
          <w:color w:val="000000"/>
          <w:sz w:val="22"/>
          <w:szCs w:val="22"/>
        </w:rPr>
        <w:t>Criterios de adjudicación</w:t>
      </w:r>
      <w:r>
        <w:rPr>
          <w:i w:val="false"/>
          <w:iCs w:val="false"/>
          <w:color w:val="000080"/>
          <w:sz w:val="22"/>
          <w:szCs w:val="22"/>
        </w:rPr>
        <w:t xml:space="preserve"> </w:t>
      </w:r>
    </w:p>
    <w:p>
      <w:pPr>
        <w:pStyle w:val="Normal"/>
        <w:pBdr/>
        <w:spacing w:lineRule="auto" w:line="360"/>
        <w:ind w:hanging="1410" w:start="1410"/>
        <w:jc w:val="both"/>
        <w:rPr>
          <w:i w:val="false"/>
          <w:iCs w:val="false"/>
          <w:color w:val="000080"/>
          <w:sz w:val="22"/>
          <w:szCs w:val="22"/>
        </w:rPr>
      </w:pPr>
      <w:hyperlink w:anchor="bookmark=id.3j2qqm3">
        <w:r>
          <w:rPr>
            <w:rStyle w:val="Style"/>
            <w:i w:val="false"/>
            <w:iCs w:val="false"/>
            <w:color w:val="0000FF"/>
            <w:sz w:val="22"/>
            <w:szCs w:val="22"/>
            <w:u w:val="single"/>
          </w:rPr>
          <w:t>Anexo XI</w:t>
        </w:r>
      </w:hyperlink>
      <w:r>
        <w:rPr>
          <w:i w:val="false"/>
          <w:iCs w:val="false"/>
          <w:color w:val="0000FF"/>
          <w:sz w:val="22"/>
          <w:szCs w:val="22"/>
          <w:u w:val="single"/>
        </w:rPr>
        <w:t>I</w:t>
      </w:r>
      <w:r>
        <w:rPr>
          <w:i w:val="false"/>
          <w:iCs w:val="false"/>
          <w:color w:val="0000FF"/>
          <w:sz w:val="22"/>
          <w:szCs w:val="22"/>
        </w:rPr>
        <w:tab/>
      </w:r>
      <w:r>
        <w:rPr>
          <w:i w:val="false"/>
          <w:iCs w:val="false"/>
          <w:color w:val="000000"/>
          <w:sz w:val="22"/>
          <w:szCs w:val="22"/>
        </w:rPr>
        <w:t xml:space="preserve">Desglose costes </w:t>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
        <w:spacing w:lineRule="auto" w:line="360"/>
        <w:ind w:start="1410"/>
        <w:jc w:val="both"/>
        <w:rPr>
          <w:sz w:val="18"/>
          <w:szCs w:val="18"/>
        </w:rPr>
      </w:pPr>
      <w:r>
        <w:rPr>
          <w:sz w:val="18"/>
          <w:szCs w:val="18"/>
        </w:rPr>
      </w:r>
    </w:p>
    <w:tbl>
      <w:tblPr>
        <w:tblStyle w:val="affffffffff"/>
        <w:tblW w:w="9075" w:type="dxa"/>
        <w:jc w:val="start"/>
        <w:tblInd w:w="-30" w:type="dxa"/>
        <w:tblLayout w:type="fixed"/>
        <w:tblCellMar>
          <w:top w:w="0" w:type="dxa"/>
          <w:start w:w="108" w:type="dxa"/>
          <w:bottom w:w="0" w:type="dxa"/>
          <w:end w:w="108" w:type="dxa"/>
        </w:tblCellMar>
        <w:tblLook w:val="0000" w:firstRow="0" w:noVBand="0" w:lastRow="0" w:firstColumn="0" w:lastColumn="0" w:noHBand="0"/>
      </w:tblPr>
      <w:tblGrid>
        <w:gridCol w:w="9075"/>
      </w:tblGrid>
      <w:tr>
        <w:trPr>
          <w:trHeight w:val="285" w:hRule="atLeast"/>
        </w:trPr>
        <w:tc>
          <w:tcPr>
            <w:tcW w:w="9075" w:type="dxa"/>
            <w:tcBorders/>
            <w:shd w:color="auto" w:fill="00B0F0" w:val="clear"/>
          </w:tcPr>
          <w:p>
            <w:pPr>
              <w:pStyle w:val="Normal"/>
              <w:jc w:val="both"/>
              <w:rPr>
                <w:color w:val="FFFFFF"/>
              </w:rPr>
            </w:pPr>
            <w:r>
              <w:rPr>
                <w:b/>
                <w:bCs/>
                <w:i w:val="false"/>
                <w:iCs w:val="false"/>
                <w:color w:val="FFFFFF"/>
                <w:sz w:val="24"/>
                <w:szCs w:val="24"/>
              </w:rPr>
              <w:t xml:space="preserve">Anexo II. </w:t>
            </w:r>
            <w:r>
              <w:rPr>
                <w:b/>
                <w:bCs/>
                <w:i w:val="false"/>
                <w:iCs w:val="false"/>
                <w:color w:val="FFFFFF"/>
              </w:rPr>
              <w:t>Datos identificativos de la empresa participante en la licitación</w:t>
            </w:r>
          </w:p>
        </w:tc>
      </w:tr>
    </w:tbl>
    <w:p>
      <w:pPr>
        <w:pStyle w:val="Normal"/>
        <w:ind w:start="2"/>
        <w:rPr>
          <w:i w:val="false"/>
          <w:iCs w:val="false"/>
          <w:sz w:val="8"/>
          <w:szCs w:val="8"/>
        </w:rPr>
      </w:pPr>
      <w:r>
        <w:rPr>
          <w:i w:val="false"/>
          <w:iCs w:val="false"/>
          <w:sz w:val="8"/>
          <w:szCs w:val="8"/>
        </w:rPr>
      </w:r>
    </w:p>
    <w:p>
      <w:pPr>
        <w:pStyle w:val="Normal"/>
        <w:ind w:start="2"/>
        <w:rPr>
          <w:i w:val="false"/>
          <w:iCs w:val="false"/>
          <w:sz w:val="8"/>
          <w:szCs w:val="8"/>
        </w:rPr>
      </w:pPr>
      <w:r>
        <w:rPr>
          <w:i w:val="false"/>
          <w:iCs w:val="false"/>
          <w:sz w:val="8"/>
          <w:szCs w:val="8"/>
        </w:rPr>
      </w:r>
    </w:p>
    <w:tbl>
      <w:tblPr>
        <w:tblStyle w:val="affffffffff0"/>
        <w:tblpPr w:vertAnchor="text" w:horzAnchor="text" w:bottomFromText="180" w:leftFromText="180" w:rightFromText="180" w:topFromText="180" w:tblpX="0" w:tblpY="0"/>
        <w:tblW w:w="9045"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3330"/>
        <w:gridCol w:w="2835"/>
        <w:gridCol w:w="2880"/>
      </w:tblGrid>
      <w:tr>
        <w:trPr/>
        <w:tc>
          <w:tcPr>
            <w:tcW w:w="9045" w:type="dxa"/>
            <w:gridSpan w:val="3"/>
            <w:tcBorders>
              <w:top w:val="single" w:sz="18" w:space="0" w:color="1F497D"/>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Código de la licitación a la que concurre</w:t>
            </w:r>
          </w:p>
        </w:tc>
      </w:tr>
      <w:tr>
        <w:trPr>
          <w:trHeight w:val="515" w:hRule="atLeast"/>
        </w:trPr>
        <w:tc>
          <w:tcPr>
            <w:tcW w:w="9045" w:type="dxa"/>
            <w:gridSpan w:val="3"/>
            <w:tcBorders>
              <w:start w:val="single" w:sz="18" w:space="0" w:color="1F497D"/>
              <w:end w:val="single" w:sz="18" w:space="0" w:color="1F497D"/>
            </w:tcBorders>
          </w:tcPr>
          <w:p>
            <w:pPr>
              <w:pStyle w:val="Normal"/>
              <w:jc w:val="both"/>
              <w:rPr>
                <w:sz w:val="18"/>
                <w:szCs w:val="18"/>
              </w:rPr>
            </w:pPr>
            <w:r>
              <w:rPr>
                <w:sz w:val="18"/>
                <w:szCs w:val="18"/>
              </w:rPr>
            </w:r>
          </w:p>
          <w:p>
            <w:pPr>
              <w:pStyle w:val="Normal"/>
              <w:jc w:val="both"/>
              <w:rPr>
                <w:sz w:val="18"/>
                <w:szCs w:val="18"/>
              </w:rPr>
            </w:pPr>
            <w:r>
              <w:rPr>
                <w:i w:val="false"/>
                <w:iCs w:val="false"/>
                <w:sz w:val="18"/>
                <w:szCs w:val="18"/>
              </w:rPr>
              <w:t>CP_____/____</w:t>
            </w:r>
          </w:p>
          <w:p>
            <w:pPr>
              <w:pStyle w:val="Normal"/>
              <w:jc w:val="both"/>
              <w:rPr>
                <w:sz w:val="18"/>
                <w:szCs w:val="18"/>
              </w:rPr>
            </w:pPr>
            <w:r>
              <w:rPr>
                <w:sz w:val="18"/>
                <w:szCs w:val="18"/>
              </w:rPr>
            </w:r>
          </w:p>
        </w:tc>
      </w:tr>
      <w:tr>
        <w:trPr/>
        <w:tc>
          <w:tcPr>
            <w:tcW w:w="9045" w:type="dxa"/>
            <w:gridSpan w:val="3"/>
            <w:tcBorders>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Número de lotes e identificación (cumplimentar solo en caso de licitación por lotes)</w:t>
            </w:r>
          </w:p>
        </w:tc>
      </w:tr>
      <w:tr>
        <w:trPr>
          <w:trHeight w:val="338" w:hRule="atLeast"/>
        </w:trPr>
        <w:tc>
          <w:tcPr>
            <w:tcW w:w="9045" w:type="dxa"/>
            <w:gridSpan w:val="3"/>
            <w:tcBorders>
              <w:start w:val="single" w:sz="18" w:space="0" w:color="1F497D"/>
              <w:end w:val="single" w:sz="18" w:space="0" w:color="1F497D"/>
            </w:tcBorders>
          </w:tcPr>
          <w:p>
            <w:pPr>
              <w:pStyle w:val="Normal"/>
              <w:ind w:start="2"/>
              <w:jc w:val="both"/>
              <w:rPr>
                <w:sz w:val="18"/>
                <w:szCs w:val="18"/>
              </w:rPr>
            </w:pPr>
            <w:r>
              <w:rPr>
                <w:sz w:val="18"/>
                <w:szCs w:val="18"/>
              </w:rPr>
            </w:r>
          </w:p>
          <w:p>
            <w:pPr>
              <w:pStyle w:val="Normal"/>
              <w:ind w:start="2"/>
              <w:jc w:val="both"/>
              <w:rPr>
                <w:sz w:val="18"/>
                <w:szCs w:val="18"/>
              </w:rPr>
            </w:pPr>
            <w:r>
              <w:rPr>
                <w:sz w:val="18"/>
                <w:szCs w:val="18"/>
              </w:rPr>
            </w:r>
          </w:p>
        </w:tc>
      </w:tr>
      <w:tr>
        <w:trPr/>
        <w:tc>
          <w:tcPr>
            <w:tcW w:w="9045" w:type="dxa"/>
            <w:gridSpan w:val="3"/>
            <w:tcBorders>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Datos de identificación del empresario licitador</w:t>
            </w:r>
          </w:p>
        </w:tc>
      </w:tr>
      <w:tr>
        <w:trPr/>
        <w:tc>
          <w:tcPr>
            <w:tcW w:w="9045" w:type="dxa"/>
            <w:gridSpan w:val="3"/>
            <w:tcBorders>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Nombre y apellidos / Razón social de la empresa:</w:t>
            </w:r>
          </w:p>
          <w:p>
            <w:pPr>
              <w:pStyle w:val="Normal"/>
              <w:ind w:start="2"/>
              <w:jc w:val="both"/>
              <w:rPr>
                <w:sz w:val="18"/>
                <w:szCs w:val="18"/>
              </w:rPr>
            </w:pPr>
            <w:r>
              <w:rPr>
                <w:sz w:val="18"/>
                <w:szCs w:val="18"/>
              </w:rPr>
            </w:r>
          </w:p>
        </w:tc>
      </w:tr>
      <w:tr>
        <w:trPr/>
        <w:tc>
          <w:tcPr>
            <w:tcW w:w="3330" w:type="dxa"/>
            <w:tcBorders>
              <w:top w:val="single" w:sz="4" w:space="0" w:color="000000"/>
              <w:start w:val="single" w:sz="18" w:space="0" w:color="1F497D"/>
              <w:bottom w:val="single" w:sz="4" w:space="0" w:color="000000"/>
              <w:end w:val="single" w:sz="18" w:space="0" w:color="000000"/>
            </w:tcBorders>
          </w:tcPr>
          <w:p>
            <w:pPr>
              <w:pStyle w:val="Normal"/>
              <w:ind w:start="2"/>
              <w:jc w:val="both"/>
              <w:rPr>
                <w:sz w:val="18"/>
                <w:szCs w:val="18"/>
              </w:rPr>
            </w:pPr>
            <w:r>
              <w:rPr>
                <w:i w:val="false"/>
                <w:iCs w:val="false"/>
                <w:sz w:val="18"/>
                <w:szCs w:val="18"/>
              </w:rPr>
              <w:t>NIF/CIF:</w:t>
            </w:r>
          </w:p>
        </w:tc>
        <w:tc>
          <w:tcPr>
            <w:tcW w:w="2835" w:type="dxa"/>
            <w:tcBorders>
              <w:top w:val="single" w:sz="4" w:space="0" w:color="000000"/>
              <w:start w:val="single" w:sz="18" w:space="0" w:color="000000"/>
              <w:bottom w:val="single" w:sz="4" w:space="0" w:color="000000"/>
              <w:end w:val="single" w:sz="18" w:space="0" w:color="000000"/>
            </w:tcBorders>
          </w:tcPr>
          <w:p>
            <w:pPr>
              <w:pStyle w:val="Normal"/>
              <w:ind w:start="2"/>
              <w:jc w:val="both"/>
              <w:rPr>
                <w:sz w:val="18"/>
                <w:szCs w:val="18"/>
              </w:rPr>
            </w:pPr>
            <w:r>
              <w:rPr>
                <w:i w:val="false"/>
                <w:iCs w:val="false"/>
                <w:sz w:val="18"/>
                <w:szCs w:val="18"/>
              </w:rPr>
              <w:t>TELF:</w:t>
            </w:r>
          </w:p>
        </w:tc>
        <w:tc>
          <w:tcPr>
            <w:tcW w:w="2880" w:type="dxa"/>
            <w:tcBorders>
              <w:top w:val="single" w:sz="4" w:space="0" w:color="000000"/>
              <w:start w:val="single" w:sz="18" w:space="0" w:color="000000"/>
              <w:bottom w:val="single" w:sz="4" w:space="0" w:color="000000"/>
              <w:end w:val="single" w:sz="18" w:space="0" w:color="1F497D"/>
            </w:tcBorders>
          </w:tcPr>
          <w:p>
            <w:pPr>
              <w:pStyle w:val="Normal"/>
              <w:ind w:start="2"/>
              <w:jc w:val="both"/>
              <w:rPr>
                <w:sz w:val="18"/>
                <w:szCs w:val="18"/>
              </w:rPr>
            </w:pPr>
            <w:r>
              <w:rPr>
                <w:i w:val="false"/>
                <w:iCs w:val="false"/>
                <w:sz w:val="18"/>
                <w:szCs w:val="18"/>
              </w:rPr>
              <w:t xml:space="preserve">PYME    </w:t>
            </w:r>
            <w:bookmarkStart w:id="0" w:name="bookmark=kix.7e71r98wnmpm"/>
            <w:bookmarkEnd w:id="0"/>
            <w:r>
              <w:rPr>
                <w:i w:val="false"/>
                <w:iCs w:val="false"/>
                <w:sz w:val="18"/>
                <w:szCs w:val="18"/>
              </w:rPr>
              <w:t xml:space="preserve">☐ sí     </w:t>
            </w:r>
            <w:bookmarkStart w:id="1" w:name="bookmark=kix.q8sqeiw8s8qq"/>
            <w:bookmarkEnd w:id="1"/>
            <w:r>
              <w:rPr>
                <w:i w:val="false"/>
                <w:iCs w:val="false"/>
                <w:sz w:val="18"/>
                <w:szCs w:val="18"/>
              </w:rPr>
              <w:t>☐ no</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DIRECCIÓN POSTAL:</w:t>
            </w:r>
          </w:p>
          <w:p>
            <w:pPr>
              <w:pStyle w:val="Normal"/>
              <w:ind w:start="2"/>
              <w:jc w:val="both"/>
              <w:rPr>
                <w:sz w:val="18"/>
                <w:szCs w:val="18"/>
              </w:rPr>
            </w:pPr>
            <w:r>
              <w:rPr>
                <w:sz w:val="18"/>
                <w:szCs w:val="18"/>
              </w:rPr>
            </w:r>
          </w:p>
        </w:tc>
      </w:tr>
      <w:tr>
        <w:trPr/>
        <w:tc>
          <w:tcPr>
            <w:tcW w:w="9045" w:type="dxa"/>
            <w:gridSpan w:val="3"/>
            <w:tcBorders>
              <w:top w:val="single" w:sz="4" w:space="0" w:color="000000"/>
              <w:start w:val="single" w:sz="18" w:space="0" w:color="1F497D"/>
              <w:end w:val="single" w:sz="18" w:space="0" w:color="1F497D"/>
            </w:tcBorders>
          </w:tcPr>
          <w:p>
            <w:pPr>
              <w:pStyle w:val="Normal"/>
              <w:ind w:start="2"/>
              <w:jc w:val="both"/>
              <w:rPr>
                <w:sz w:val="18"/>
                <w:szCs w:val="18"/>
              </w:rPr>
            </w:pPr>
            <w:r>
              <w:rPr>
                <w:i w:val="false"/>
                <w:iCs w:val="false"/>
                <w:sz w:val="18"/>
                <w:szCs w:val="18"/>
              </w:rPr>
              <w:t>URL/WEB</w:t>
            </w:r>
          </w:p>
          <w:p>
            <w:pPr>
              <w:pStyle w:val="Normal"/>
              <w:ind w:start="2"/>
              <w:jc w:val="both"/>
              <w:rPr>
                <w:sz w:val="18"/>
                <w:szCs w:val="18"/>
              </w:rPr>
            </w:pPr>
            <w:r>
              <w:rPr>
                <w:sz w:val="18"/>
                <w:szCs w:val="18"/>
              </w:rPr>
            </w:r>
          </w:p>
        </w:tc>
      </w:tr>
      <w:tr>
        <w:trPr/>
        <w:tc>
          <w:tcPr>
            <w:tcW w:w="9045" w:type="dxa"/>
            <w:gridSpan w:val="3"/>
            <w:tcBorders>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Datos de identificación del representante del licitador</w:t>
            </w:r>
          </w:p>
        </w:tc>
      </w:tr>
      <w:tr>
        <w:trPr/>
        <w:tc>
          <w:tcPr>
            <w:tcW w:w="9045" w:type="dxa"/>
            <w:gridSpan w:val="3"/>
            <w:tcBorders>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DNI:</w:t>
            </w:r>
          </w:p>
        </w:tc>
      </w:tr>
      <w:tr>
        <w:trPr>
          <w:trHeight w:val="585"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Nombre y apellidos del representante de la empresa:</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jc w:val="both"/>
              <w:rPr>
                <w:sz w:val="18"/>
                <w:szCs w:val="18"/>
              </w:rPr>
            </w:pPr>
            <w:r>
              <w:rPr>
                <w:i w:val="false"/>
                <w:iCs w:val="false"/>
                <w:sz w:val="18"/>
                <w:szCs w:val="18"/>
              </w:rPr>
              <w:t>Nº protocolo  de Poder bastante en derecho a favor del representante legal del licitador:</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jc w:val="both"/>
              <w:rPr>
                <w:sz w:val="18"/>
                <w:szCs w:val="18"/>
              </w:rPr>
            </w:pPr>
            <w:r>
              <w:rPr>
                <w:i w:val="false"/>
                <w:iCs w:val="false"/>
                <w:sz w:val="18"/>
                <w:szCs w:val="18"/>
              </w:rPr>
              <w:t>Lugar y fecha de otorgamiento:</w:t>
            </w:r>
          </w:p>
          <w:p>
            <w:pPr>
              <w:pStyle w:val="Normal"/>
              <w:jc w:val="both"/>
              <w:rPr>
                <w:sz w:val="18"/>
                <w:szCs w:val="18"/>
              </w:rPr>
            </w:pPr>
            <w:r>
              <w:rPr>
                <w:sz w:val="18"/>
                <w:szCs w:val="18"/>
              </w:rPr>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jc w:val="both"/>
              <w:rPr>
                <w:i w:val="false"/>
                <w:iCs w:val="false"/>
              </w:rPr>
            </w:pPr>
            <w:r>
              <w:rPr>
                <w:i w:val="false"/>
                <w:iCs w:val="false"/>
                <w:sz w:val="18"/>
                <w:szCs w:val="18"/>
              </w:rPr>
              <w:t>Nombre, residencia del notario  y el Colegio Notarial al que pertenece</w:t>
            </w:r>
            <w:r>
              <w:rPr>
                <w:i w:val="false"/>
                <w:iCs w:val="false"/>
              </w:rPr>
              <w:t>:</w:t>
            </w:r>
          </w:p>
          <w:p>
            <w:pPr>
              <w:pStyle w:val="Normal"/>
              <w:jc w:val="both"/>
              <w:rPr>
                <w:sz w:val="18"/>
                <w:szCs w:val="18"/>
              </w:rPr>
            </w:pPr>
            <w:r>
              <w:rPr>
                <w:sz w:val="18"/>
                <w:szCs w:val="18"/>
              </w:rPr>
            </w:r>
          </w:p>
        </w:tc>
      </w:tr>
      <w:tr>
        <w:trPr/>
        <w:tc>
          <w:tcPr>
            <w:tcW w:w="9045" w:type="dxa"/>
            <w:gridSpan w:val="3"/>
            <w:tcBorders>
              <w:top w:val="single" w:sz="4" w:space="0" w:color="000000"/>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Datos persona de contacto</w:t>
            </w:r>
          </w:p>
        </w:tc>
      </w:tr>
      <w:tr>
        <w:trPr>
          <w:trHeight w:val="542" w:hRule="atLeast"/>
        </w:trPr>
        <w:tc>
          <w:tcPr>
            <w:tcW w:w="9045" w:type="dxa"/>
            <w:gridSpan w:val="3"/>
            <w:tcBorders>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Nombre y apellidos:</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Telf.:</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
              <w:ind w:start="2"/>
              <w:jc w:val="both"/>
              <w:rPr>
                <w:sz w:val="18"/>
                <w:szCs w:val="18"/>
              </w:rPr>
            </w:pPr>
            <w:r>
              <w:rPr>
                <w:i w:val="false"/>
                <w:iCs w:val="false"/>
                <w:sz w:val="18"/>
                <w:szCs w:val="18"/>
              </w:rPr>
              <w:t>Correo electrónico:</w:t>
            </w:r>
          </w:p>
        </w:tc>
      </w:tr>
      <w:tr>
        <w:trPr/>
        <w:tc>
          <w:tcPr>
            <w:tcW w:w="9045" w:type="dxa"/>
            <w:gridSpan w:val="3"/>
            <w:tcBorders>
              <w:top w:val="single" w:sz="4" w:space="0" w:color="000000"/>
              <w:start w:val="single" w:sz="18" w:space="0" w:color="1F497D"/>
              <w:end w:val="single" w:sz="18" w:space="0" w:color="1F497D"/>
            </w:tcBorders>
            <w:shd w:color="auto" w:fill="00B0F0" w:val="clear"/>
          </w:tcPr>
          <w:p>
            <w:pPr>
              <w:pStyle w:val="Normal"/>
              <w:ind w:start="2"/>
              <w:jc w:val="both"/>
              <w:rPr>
                <w:color w:val="FFFFFF"/>
                <w:sz w:val="18"/>
                <w:szCs w:val="18"/>
              </w:rPr>
            </w:pPr>
            <w:r>
              <w:rPr>
                <w:b/>
                <w:bCs/>
                <w:i w:val="false"/>
                <w:iCs w:val="false"/>
                <w:color w:val="FFFFFF"/>
                <w:sz w:val="18"/>
                <w:szCs w:val="18"/>
              </w:rPr>
              <w:t>A efectos de notificación</w:t>
            </w:r>
          </w:p>
        </w:tc>
      </w:tr>
      <w:tr>
        <w:trPr>
          <w:trHeight w:val="542" w:hRule="atLeast"/>
        </w:trPr>
        <w:tc>
          <w:tcPr>
            <w:tcW w:w="9045" w:type="dxa"/>
            <w:gridSpan w:val="3"/>
            <w:tcBorders>
              <w:start w:val="single" w:sz="18" w:space="0" w:color="1F497D"/>
              <w:bottom w:val="single" w:sz="18" w:space="0" w:color="002060"/>
              <w:end w:val="single" w:sz="18" w:space="0" w:color="1F497D"/>
            </w:tcBorders>
          </w:tcPr>
          <w:p>
            <w:pPr>
              <w:pStyle w:val="Normal"/>
              <w:jc w:val="both"/>
              <w:rPr>
                <w:b/>
                <w:bCs/>
                <w:i w:val="false"/>
                <w:iCs w:val="false"/>
                <w:sz w:val="18"/>
                <w:szCs w:val="18"/>
              </w:rPr>
            </w:pPr>
            <w:bookmarkStart w:id="2" w:name="bookmark=kix.42vndvjpuiqh"/>
            <w:bookmarkEnd w:id="2"/>
            <w:r>
              <w:rPr>
                <w:i w:val="false"/>
                <w:iCs w:val="false"/>
                <w:sz w:val="18"/>
                <w:szCs w:val="18"/>
              </w:rPr>
              <w:t xml:space="preserve"> </w:t>
            </w:r>
            <w:bookmarkStart w:id="3" w:name="bookmark=kix.lc5kdkhs8jwk"/>
            <w:bookmarkEnd w:id="3"/>
            <w:r>
              <w:rPr>
                <w:i w:val="false"/>
                <w:iCs w:val="false"/>
                <w:sz w:val="18"/>
                <w:szCs w:val="18"/>
              </w:rPr>
              <w:t>El licitador acepta expresamente recibir las notificaciones por parte de la Mutua de forma electrónica a través del correo más arriba indicado</w:t>
            </w:r>
            <w:r>
              <w:rPr>
                <w:b/>
                <w:bCs/>
                <w:i w:val="false"/>
                <w:iCs w:val="false"/>
                <w:sz w:val="18"/>
                <w:szCs w:val="18"/>
                <w:vertAlign w:val="superscript"/>
              </w:rPr>
              <w:t>1</w:t>
            </w:r>
            <w:r>
              <w:rPr>
                <w:i w:val="false"/>
                <w:iCs w:val="false"/>
                <w:sz w:val="18"/>
                <w:szCs w:val="18"/>
              </w:rPr>
              <w:t>.</w:t>
            </w:r>
          </w:p>
          <w:p>
            <w:pPr>
              <w:pStyle w:val="Normal"/>
              <w:jc w:val="both"/>
              <w:rPr>
                <w:sz w:val="18"/>
                <w:szCs w:val="18"/>
              </w:rPr>
            </w:pPr>
            <w:r>
              <w:rPr>
                <w:sz w:val="18"/>
                <w:szCs w:val="18"/>
              </w:rPr>
            </w:r>
          </w:p>
        </w:tc>
      </w:tr>
    </w:tbl>
    <w:p>
      <w:pPr>
        <w:pStyle w:val="Normal"/>
        <w:ind w:start="-2"/>
        <w:jc w:val="both"/>
        <w:rPr>
          <w:i w:val="false"/>
          <w:iCs w:val="false"/>
          <w:sz w:val="16"/>
          <w:szCs w:val="16"/>
        </w:rPr>
      </w:pPr>
      <w:r/>
      <w:r>
        <w:rPr>
          <w:b/>
          <w:bCs/>
          <w:i w:val="false"/>
          <w:iCs w:val="false"/>
          <w:sz w:val="22"/>
          <w:szCs w:val="22"/>
        </w:rPr>
        <w:t xml:space="preserve">DECLARA, bajo su responsabilidad, como licitador  </w:t>
      </w:r>
      <w:r>
        <w:rPr>
          <w:b/>
          <w:bCs/>
          <w:i w:val="false"/>
          <w:iCs w:val="false"/>
          <w:sz w:val="18"/>
          <w:szCs w:val="18"/>
        </w:rPr>
        <w:t>(</w:t>
      </w:r>
      <w:r>
        <w:rPr>
          <w:i w:val="false"/>
          <w:iCs w:val="false"/>
          <w:sz w:val="18"/>
          <w:szCs w:val="18"/>
        </w:rPr>
        <w:t>en caso de presentarse en UTE,  realice una declaración por cada uno de los miembros de la UTE y presente el Anexo IV.3)</w:t>
      </w:r>
      <w:r>
        <w:rPr>
          <w:i w:val="false"/>
          <w:iCs w:val="false"/>
          <w:sz w:val="16"/>
          <w:szCs w:val="16"/>
        </w:rPr>
        <w:t>:</w:t>
      </w:r>
    </w:p>
    <w:p>
      <w:pPr>
        <w:pStyle w:val="Normal"/>
        <w:ind w:hanging="2"/>
        <w:jc w:val="both"/>
        <w:rPr>
          <w:i w:val="false"/>
          <w:iCs w:val="false"/>
          <w:sz w:val="16"/>
          <w:szCs w:val="16"/>
        </w:rPr>
      </w:pPr>
      <w:r>
        <w:rPr>
          <w:i w:val="false"/>
          <w:iCs w:val="false"/>
          <w:sz w:val="16"/>
          <w:szCs w:val="16"/>
        </w:rPr>
      </w:r>
    </w:p>
    <w:p>
      <w:pPr>
        <w:pStyle w:val="Normal"/>
        <w:ind w:hanging="2"/>
        <w:jc w:val="both"/>
        <w:rPr>
          <w:i w:val="false"/>
          <w:iCs w:val="false"/>
          <w:sz w:val="16"/>
          <w:szCs w:val="16"/>
        </w:rPr>
      </w:pPr>
      <w:r>
        <w:rPr>
          <w:i w:val="false"/>
          <w:iCs w:val="false"/>
          <w:sz w:val="16"/>
          <w:szCs w:val="16"/>
        </w:rPr>
      </w:r>
    </w:p>
    <w:p>
      <w:pPr>
        <w:pStyle w:val="Normal"/>
        <w:jc w:val="both"/>
        <w:rPr>
          <w:i w:val="false"/>
          <w:iCs w:val="false"/>
          <w:sz w:val="22"/>
          <w:szCs w:val="22"/>
        </w:rPr>
      </w:pPr>
      <w:r>
        <w:rPr>
          <w:i w:val="false"/>
          <w:iCs w:val="false"/>
          <w:sz w:val="22"/>
          <w:szCs w:val="22"/>
        </w:rPr>
        <w:t xml:space="preserve">-Que conforme al objeto  social de la empresa, puede presentarse a la licitación, ostentando el firmante de esta declaración la  debida representación de la empresa  así como la facultad  para presentar la oferta. </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rFonts w:eastAsia="Calibri" w:cs="Calibri" w:ascii="Calibri" w:hAnsi="Calibri"/>
          <w:i w:val="false"/>
          <w:iCs w:val="false"/>
          <w:sz w:val="22"/>
          <w:szCs w:val="22"/>
        </w:rPr>
        <w:t xml:space="preserve">- </w:t>
      </w:r>
      <w:r>
        <w:rPr>
          <w:i w:val="false"/>
          <w:iCs w:val="false"/>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
        <w:ind w:hanging="2"/>
        <w:jc w:val="both"/>
        <w:rPr>
          <w:i w:val="false"/>
          <w:iCs w:val="false"/>
          <w:sz w:val="16"/>
          <w:szCs w:val="16"/>
        </w:rPr>
      </w:pPr>
      <w:r>
        <w:rPr>
          <w:i w:val="false"/>
          <w:iCs w:val="false"/>
          <w:sz w:val="16"/>
          <w:szCs w:val="16"/>
        </w:rPr>
      </w:r>
    </w:p>
    <w:p>
      <w:pPr>
        <w:pStyle w:val="Normal"/>
        <w:ind w:hanging="2"/>
        <w:jc w:val="both"/>
        <w:rPr>
          <w:b/>
          <w:bCs/>
          <w:i w:val="false"/>
          <w:iCs w:val="false"/>
          <w:sz w:val="22"/>
          <w:szCs w:val="22"/>
        </w:rPr>
      </w:pPr>
      <w:r>
        <w:rPr>
          <w:b/>
          <w:bCs/>
          <w:i w:val="false"/>
          <w:iCs w:val="false"/>
          <w:sz w:val="22"/>
          <w:szCs w:val="22"/>
        </w:rPr>
        <w:t xml:space="preserve">Marque con una x en caso afirmativo:  </w:t>
      </w:r>
    </w:p>
    <w:p>
      <w:pPr>
        <w:pStyle w:val="Normal"/>
        <w:ind w:hanging="2"/>
        <w:jc w:val="both"/>
        <w:rPr>
          <w:b/>
          <w:bCs/>
          <w:i w:val="false"/>
          <w:iCs w:val="false"/>
          <w:sz w:val="22"/>
          <w:szCs w:val="22"/>
        </w:rPr>
      </w:pPr>
      <w:r>
        <w:rPr>
          <w:b/>
          <w:bCs/>
          <w:i w:val="false"/>
          <w:iCs w:val="false"/>
          <w:sz w:val="22"/>
          <w:szCs w:val="22"/>
        </w:rPr>
      </w:r>
    </w:p>
    <w:p>
      <w:pPr>
        <w:pStyle w:val="Normal"/>
        <w:ind w:hanging="2"/>
        <w:jc w:val="both"/>
        <w:rPr>
          <w:i w:val="false"/>
          <w:iCs w:val="false"/>
          <w:sz w:val="22"/>
          <w:szCs w:val="22"/>
        </w:rPr>
      </w:pPr>
      <w:r>
        <w:rPr>
          <w:rFonts w:eastAsia="MS Gothic" w:cs="MS Gothic" w:ascii="MS Gothic" w:hAnsi="MS Gothic"/>
          <w:i w:val="false"/>
          <w:iCs w:val="false"/>
          <w:sz w:val="22"/>
          <w:szCs w:val="22"/>
        </w:rPr>
        <w:t>☐</w:t>
      </w:r>
      <w:r>
        <w:rPr>
          <w:rFonts w:cs="Times New Roman" w:ascii="Times New Roman" w:hAnsi="Times New Roman"/>
          <w:i w:val="false"/>
          <w:iCs w:val="false"/>
          <w:sz w:val="22"/>
          <w:szCs w:val="22"/>
        </w:rPr>
        <w:t xml:space="preserve">  </w:t>
      </w:r>
      <w:r>
        <w:rPr>
          <w:i w:val="false"/>
          <w:iCs w:val="false"/>
          <w:sz w:val="22"/>
          <w:szCs w:val="22"/>
        </w:rPr>
        <w:t>Que siendo una empresa extranjera se someterá a los juzgados y tribunales españoles de cualquier orden para todas las incidencias que puedan surgir del contrato, con renuncia expresa al fuero propio.</w:t>
      </w:r>
    </w:p>
    <w:p>
      <w:pPr>
        <w:pStyle w:val="Normal"/>
        <w:jc w:val="both"/>
        <w:rPr>
          <w:i w:val="false"/>
          <w:iCs w:val="false"/>
          <w:sz w:val="22"/>
          <w:szCs w:val="22"/>
          <w:highlight w:val="yellow"/>
        </w:rPr>
      </w:pPr>
      <w:r>
        <w:rPr>
          <w:i w:val="false"/>
          <w:iCs w:val="false"/>
          <w:sz w:val="22"/>
          <w:szCs w:val="22"/>
          <w:highlight w:val="yellow"/>
        </w:rPr>
      </w:r>
    </w:p>
    <w:p>
      <w:pPr>
        <w:pStyle w:val="Normal"/>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la empresa es una microempresa, una pequeña o mediana empresa</w:t>
      </w:r>
    </w:p>
    <w:p>
      <w:pPr>
        <w:pStyle w:val="Normal"/>
        <w:ind w:start="708"/>
        <w:jc w:val="both"/>
        <w:rPr>
          <w:i w:val="false"/>
          <w:iCs w:val="false"/>
          <w:sz w:val="22"/>
          <w:szCs w:val="22"/>
        </w:rPr>
      </w:pPr>
      <w:r>
        <w:rPr>
          <w:i w:val="false"/>
          <w:iCs w:val="false"/>
          <w:sz w:val="22"/>
          <w:szCs w:val="22"/>
        </w:rPr>
      </w:r>
    </w:p>
    <w:p>
      <w:pPr>
        <w:pStyle w:val="Normal"/>
        <w:ind w:hanging="425" w:start="1133"/>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 xml:space="preserve">Microempresa: </w:t>
      </w:r>
      <w:r>
        <w:rPr>
          <w:rFonts w:eastAsia="Calibri" w:cs="Calibri" w:ascii="Calibri" w:hAnsi="Calibri"/>
          <w:i w:val="false"/>
          <w:iCs w:val="false"/>
          <w:sz w:val="18"/>
          <w:szCs w:val="18"/>
        </w:rPr>
        <w:t>empresa que cuenta con menos de 10 empleados y cuyo volumen de negocios anual o balance total anual no excede de 2 millones EUR.</w:t>
      </w:r>
    </w:p>
    <w:p>
      <w:pPr>
        <w:pStyle w:val="Normal"/>
        <w:ind w:hanging="425" w:start="1133"/>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Pequeña empresa</w:t>
      </w:r>
      <w:r>
        <w:rPr>
          <w:rFonts w:eastAsia="Calibri" w:cs="Calibri" w:ascii="Calibri" w:hAnsi="Calibri"/>
          <w:i w:val="false"/>
          <w:iCs w:val="false"/>
          <w:sz w:val="18"/>
          <w:szCs w:val="18"/>
        </w:rPr>
        <w:t>: empresa que cuenta con menos de 50 empleados y cuyo volumen de negocios anual o balance total anual no excede de 10 millones EUR.</w:t>
      </w:r>
    </w:p>
    <w:p>
      <w:pPr>
        <w:pStyle w:val="Normal"/>
        <w:ind w:hanging="425" w:start="1133"/>
        <w:jc w:val="both"/>
        <w:rPr>
          <w:rFonts w:ascii="Calibri" w:hAnsi="Calibri" w:eastAsia="Calibri" w:cs="Calibri"/>
          <w:b/>
          <w:bCs/>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Mediana empresa</w:t>
      </w:r>
      <w:r>
        <w:rPr>
          <w:rFonts w:eastAsia="Calibri" w:cs="Calibri" w:ascii="Calibri" w:hAnsi="Calibri"/>
          <w:i w:val="false"/>
          <w:iCs w:val="false"/>
          <w:sz w:val="18"/>
          <w:szCs w:val="18"/>
        </w:rPr>
        <w:t>: empresa que no es ni una microempresa ni una pequeña empresa, que cuenta con menos de 250 empleados y cuyo volumen de negocios anual no excede de 50 millones EUR o cuyo balance total anual no excede de 43 millones EUR.</w:t>
      </w:r>
    </w:p>
    <w:p>
      <w:pPr>
        <w:pStyle w:val="Normal"/>
        <w:ind w:hanging="2"/>
        <w:jc w:val="both"/>
        <w:rPr>
          <w:i w:val="false"/>
          <w:iCs w:val="false"/>
          <w:sz w:val="22"/>
          <w:szCs w:val="22"/>
        </w:rPr>
      </w:pPr>
      <w:r>
        <w:rPr>
          <w:i w:val="false"/>
          <w:iCs w:val="false"/>
          <w:sz w:val="22"/>
          <w:szCs w:val="22"/>
        </w:rPr>
        <w:t xml:space="preserve">        </w:t>
      </w:r>
    </w:p>
    <w:p>
      <w:pPr>
        <w:pStyle w:val="Normal"/>
        <w:tabs>
          <w:tab w:val="clear" w:pos="720"/>
          <w:tab w:val="left" w:pos="567" w:leader="none"/>
        </w:tabs>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pPr>
        <w:pStyle w:val="Normal"/>
        <w:ind w:hanging="2"/>
        <w:rPr>
          <w:i w:val="false"/>
          <w:iCs w:val="false"/>
          <w:sz w:val="22"/>
          <w:szCs w:val="22"/>
        </w:rPr>
      </w:pPr>
      <w:r>
        <w:rPr>
          <w:i w:val="false"/>
          <w:iCs w:val="false"/>
          <w:sz w:val="22"/>
          <w:szCs w:val="22"/>
        </w:rPr>
      </w:r>
    </w:p>
    <w:p>
      <w:pPr>
        <w:pStyle w:val="Normal"/>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dispone del correspondiente  plan  para la igualdad entre hombres y mujeres y que dicho plan se encuentra inscrito  en el registro laboral correspondiente.</w:t>
      </w:r>
    </w:p>
    <w:p>
      <w:pPr>
        <w:pStyle w:val="Normal"/>
        <w:ind w:hanging="2"/>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 xml:space="preserve">Y para que conste, firmo la presente declaración, manifestando formalmente  que la información que  contiene es exacta  y veraz y que se podrá aportar la documentación que lo acredite cuando así le sea solicitado. </w:t>
      </w:r>
    </w:p>
    <w:p>
      <w:pPr>
        <w:pStyle w:val="Normal"/>
        <w:ind w:hanging="2"/>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En ………. a ….de ……… de 20…….</w:t>
      </w:r>
    </w:p>
    <w:p>
      <w:pPr>
        <w:pStyle w:val="Normal"/>
        <w:spacing w:before="0" w:after="240"/>
        <w:ind w:hanging="2"/>
        <w:rPr>
          <w:b/>
          <w:bCs/>
          <w:sz w:val="18"/>
          <w:szCs w:val="18"/>
        </w:rPr>
      </w:pPr>
      <w:r>
        <w:rPr>
          <w:i w:val="false"/>
          <w:iCs w:val="false"/>
          <w:sz w:val="22"/>
          <w:szCs w:val="22"/>
        </w:rPr>
        <w:br/>
        <w:br/>
        <w:t>Fdo. legal representante       </w:t>
      </w:r>
    </w:p>
    <w:p>
      <w:pPr>
        <w:pStyle w:val="Normal"/>
        <w:ind w:start="2"/>
        <w:jc w:val="both"/>
        <w:rPr>
          <w:b/>
          <w:bCs/>
          <w:sz w:val="18"/>
          <w:szCs w:val="18"/>
        </w:rPr>
      </w:pPr>
      <w:r>
        <w:rPr>
          <w:b/>
          <w:bCs/>
          <w:sz w:val="18"/>
          <w:szCs w:val="18"/>
        </w:rPr>
      </w:r>
    </w:p>
    <w:p>
      <w:pPr>
        <w:pStyle w:val="Normal"/>
        <w:ind w:start="2"/>
        <w:jc w:val="both"/>
        <w:rPr>
          <w:b/>
          <w:bCs/>
          <w:sz w:val="18"/>
          <w:szCs w:val="18"/>
        </w:rPr>
      </w:pPr>
      <w:r>
        <w:rPr>
          <w:b/>
          <w:bCs/>
          <w:sz w:val="18"/>
          <w:szCs w:val="18"/>
        </w:rPr>
      </w:r>
    </w:p>
    <w:p>
      <w:pPr>
        <w:pStyle w:val="Normal"/>
        <w:ind w:start="2"/>
        <w:jc w:val="both"/>
        <w:rPr>
          <w:b/>
          <w:bCs/>
          <w:sz w:val="18"/>
          <w:szCs w:val="18"/>
        </w:rPr>
      </w:pPr>
      <w:r>
        <w:rPr>
          <w:b/>
          <w:bCs/>
          <w:sz w:val="18"/>
          <w:szCs w:val="18"/>
        </w:rPr>
      </w:r>
    </w:p>
    <w:p>
      <w:pPr>
        <w:pStyle w:val="Normal"/>
        <w:ind w:start="2"/>
        <w:jc w:val="both"/>
        <w:rPr>
          <w:sz w:val="18"/>
          <w:szCs w:val="18"/>
        </w:rPr>
      </w:pPr>
      <w:r>
        <w:rPr>
          <w:b/>
          <w:bCs/>
          <w:i w:val="false"/>
          <w:iCs w:val="false"/>
          <w:sz w:val="18"/>
          <w:szCs w:val="18"/>
        </w:rPr>
        <w:t>ASEPEYO</w:t>
      </w:r>
    </w:p>
    <w:p>
      <w:pPr>
        <w:pStyle w:val="Normal"/>
        <w:ind w:start="2"/>
        <w:rPr>
          <w:i w:val="false"/>
          <w:iCs w:val="false"/>
          <w:sz w:val="18"/>
          <w:szCs w:val="18"/>
        </w:rPr>
      </w:pPr>
      <w:r>
        <w:rPr>
          <w:i w:val="false"/>
          <w:iCs w:val="false"/>
          <w:sz w:val="18"/>
          <w:szCs w:val="18"/>
        </w:rPr>
        <w:t>Dirección de Contratación. Vía Augusta, 48 – 3ª planta. 08006 BARCELONA</w:t>
      </w:r>
    </w:p>
    <w:p>
      <w:pPr>
        <w:pStyle w:val="Normal"/>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r>
    </w:p>
    <w:p>
      <w:pPr>
        <w:pStyle w:val="Normal"/>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r>
    </w:p>
    <w:p>
      <w:pPr>
        <w:pStyle w:val="Normal"/>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r>
    </w:p>
    <w:p>
      <w:pPr>
        <w:pStyle w:val="Normal"/>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8"/>
          <w:szCs w:val="18"/>
        </w:rPr>
      </w:pPr>
      <w:r>
        <w:rPr>
          <w:b/>
          <w:bCs/>
          <w:i w:val="false"/>
          <w:iCs w:val="false"/>
          <w:vertAlign w:val="superscript"/>
        </w:rPr>
        <w:t>1</w:t>
      </w:r>
      <w:r>
        <w:rPr>
          <w:i w:val="false"/>
          <w:iCs w:val="false"/>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pPr>
        <w:pStyle w:val="Normal"/>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pPr>
        <w:pStyle w:val="Normal"/>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pPr>
        <w:pStyle w:val="Normal"/>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tab/>
        <w:t>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pPr>
        <w:pStyle w:val="Normal"/>
        <w:numPr>
          <w:ilvl w:val="0"/>
          <w:numId w:val="4"/>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sz w:val="16"/>
          <w:szCs w:val="16"/>
        </w:rPr>
      </w:pPr>
      <w:bookmarkStart w:id="4" w:name="_heading=h.1t3h5sf"/>
      <w:bookmarkEnd w:id="4"/>
      <w:r>
        <w:rPr>
          <w:i w:val="false"/>
          <w:iCs w:val="false"/>
          <w:sz w:val="14"/>
          <w:szCs w:val="14"/>
        </w:rPr>
        <w:t xml:space="preserve">Mediante correo electrónico que deberá enviar a la dirección </w:t>
      </w:r>
      <w:hyperlink r:id="rId2">
        <w:r>
          <w:rPr>
            <w:rStyle w:val="Style"/>
            <w:i w:val="false"/>
            <w:iCs w:val="false"/>
            <w:color w:val="0000FF"/>
            <w:sz w:val="14"/>
            <w:szCs w:val="14"/>
            <w:u w:val="single"/>
          </w:rPr>
          <w:t>asepeyo@asepeyo.es</w:t>
        </w:r>
      </w:hyperlink>
    </w:p>
    <w:p>
      <w:pPr>
        <w:pStyle w:val="Normal"/>
        <w:numPr>
          <w:ilvl w:val="0"/>
          <w:numId w:val="4"/>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sz w:val="16"/>
          <w:szCs w:val="16"/>
        </w:rPr>
      </w:pPr>
      <w:r>
        <w:rPr>
          <w:i w:val="false"/>
          <w:iCs w:val="false"/>
          <w:sz w:val="14"/>
          <w:szCs w:val="14"/>
        </w:rPr>
        <w:t>Correo postal dirigido a Asepeyo, con dirección en Vía Augusta nº 36 08006 Barcelona o presentándose en uno de los centros asistenciales de Asepeyo</w:t>
      </w:r>
    </w:p>
    <w:p>
      <w:pPr>
        <w:pStyle w:val="Normal"/>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pPr>
        <w:pStyle w:val="Normal"/>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start="2"/>
        <w:jc w:val="both"/>
        <w:rPr>
          <w:i w:val="false"/>
          <w:iCs w:val="false"/>
          <w:sz w:val="14"/>
          <w:szCs w:val="14"/>
        </w:rPr>
      </w:pPr>
      <w:r>
        <w:rPr>
          <w:i w:val="false"/>
          <w:iCs w:val="false"/>
          <w:sz w:val="14"/>
          <w:szCs w:val="14"/>
        </w:rPr>
      </w:r>
    </w:p>
    <w:p>
      <w:pPr>
        <w:pStyle w:val="Normal"/>
        <w:ind w:hanging="2" w:start="2"/>
        <w:rPr>
          <w:i w:val="false"/>
          <w:iCs w:val="false"/>
          <w:sz w:val="10"/>
          <w:szCs w:val="10"/>
        </w:rPr>
      </w:pPr>
      <w:r>
        <w:rPr>
          <w:i w:val="false"/>
          <w:iCs w:val="false"/>
          <w:sz w:val="10"/>
          <w:szCs w:val="10"/>
        </w:rPr>
      </w:r>
    </w:p>
    <w:p>
      <w:pPr>
        <w:pStyle w:val="Normal"/>
        <w:ind w:hanging="2" w:start="2"/>
        <w:rPr>
          <w:sz w:val="18"/>
          <w:szCs w:val="18"/>
        </w:rPr>
      </w:pPr>
      <w:r>
        <w:rPr>
          <w:sz w:val="18"/>
          <w:szCs w:val="18"/>
        </w:rPr>
      </w:r>
    </w:p>
    <w:p>
      <w:pPr>
        <w:pStyle w:val="Normal"/>
        <w:ind w:start="2"/>
        <w:rPr>
          <w:sz w:val="18"/>
          <w:szCs w:val="18"/>
        </w:rPr>
      </w:pPr>
      <w:r>
        <w:rPr>
          <w:sz w:val="18"/>
          <w:szCs w:val="18"/>
        </w:rPr>
      </w:r>
    </w:p>
    <w:p>
      <w:pPr>
        <w:pStyle w:val="Normal"/>
        <w:ind w:start="2"/>
        <w:rPr>
          <w:sz w:val="18"/>
          <w:szCs w:val="18"/>
        </w:rPr>
      </w:pPr>
      <w:r>
        <w:rPr>
          <w:sz w:val="18"/>
          <w:szCs w:val="18"/>
        </w:rPr>
      </w:r>
    </w:p>
    <w:p>
      <w:pPr>
        <w:pStyle w:val="Normal"/>
        <w:ind w:start="2"/>
        <w:rPr>
          <w:sz w:val="18"/>
          <w:szCs w:val="18"/>
        </w:rPr>
      </w:pPr>
      <w:r>
        <w:rPr>
          <w:sz w:val="18"/>
          <w:szCs w:val="18"/>
        </w:rPr>
      </w:r>
    </w:p>
    <w:tbl>
      <w:tblPr>
        <w:tblStyle w:val="affffffffff1"/>
        <w:tblpPr w:vertAnchor="text" w:horzAnchor="text" w:bottomFromText="180" w:leftFromText="180" w:rightFromText="180" w:topFromText="180" w:tblpX="130" w:tblpY="0"/>
        <w:tblW w:w="9135"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9135"/>
      </w:tblGrid>
      <w:tr>
        <w:trPr>
          <w:trHeight w:val="368" w:hRule="atLeast"/>
        </w:trPr>
        <w:tc>
          <w:tcPr>
            <w:tcW w:w="9135" w:type="dxa"/>
            <w:tcBorders/>
            <w:shd w:color="auto" w:fill="00B0F0" w:val="clear"/>
          </w:tcPr>
          <w:p>
            <w:pPr>
              <w:pStyle w:val="Normal"/>
              <w:jc w:val="center"/>
              <w:rPr>
                <w:b/>
                <w:bCs/>
                <w:i w:val="false"/>
                <w:iCs w:val="false"/>
                <w:color w:val="FFFFFF"/>
                <w:sz w:val="24"/>
                <w:szCs w:val="24"/>
              </w:rPr>
            </w:pPr>
            <w:r>
              <w:rPr>
                <w:b/>
                <w:bCs/>
                <w:i w:val="false"/>
                <w:iCs w:val="false"/>
                <w:color w:val="FFFFFF"/>
                <w:sz w:val="24"/>
                <w:szCs w:val="24"/>
              </w:rPr>
              <w:t>Anexo III</w:t>
            </w:r>
          </w:p>
          <w:p>
            <w:pPr>
              <w:pStyle w:val="Normal"/>
              <w:jc w:val="center"/>
              <w:rPr>
                <w:b/>
                <w:bCs/>
                <w:i w:val="false"/>
                <w:iCs w:val="false"/>
                <w:color w:val="FFFFFF"/>
                <w:sz w:val="24"/>
                <w:szCs w:val="24"/>
              </w:rPr>
            </w:pPr>
            <w:r>
              <w:rPr>
                <w:b/>
                <w:bCs/>
                <w:i w:val="false"/>
                <w:iCs w:val="false"/>
                <w:color w:val="FFFFFF"/>
                <w:sz w:val="24"/>
                <w:szCs w:val="24"/>
              </w:rPr>
              <w:t>Admisión de variantes.</w:t>
            </w:r>
          </w:p>
        </w:tc>
      </w:tr>
    </w:tbl>
    <w:p>
      <w:pPr>
        <w:pStyle w:val="Normal"/>
        <w:pBdr/>
        <w:jc w:val="both"/>
        <w:rPr>
          <w:b/>
          <w:bCs/>
          <w:i w:val="false"/>
          <w:iCs w:val="false"/>
          <w:color w:val="000080"/>
        </w:rPr>
      </w:pPr>
      <w:r>
        <w:rPr>
          <w:b/>
          <w:bCs/>
          <w:i w:val="false"/>
          <w:iCs w:val="false"/>
          <w:color w:val="000080"/>
        </w:rPr>
      </w:r>
    </w:p>
    <w:p>
      <w:pPr>
        <w:pStyle w:val="Normal"/>
        <w:pBdr/>
        <w:ind w:firstLine="720"/>
        <w:jc w:val="both"/>
        <w:rPr>
          <w:i w:val="false"/>
          <w:iCs w:val="false"/>
          <w:color w:val="000000"/>
          <w:sz w:val="22"/>
          <w:szCs w:val="22"/>
        </w:rPr>
      </w:pPr>
      <w:r>
        <w:rPr>
          <w:i w:val="false"/>
          <w:iCs w:val="false"/>
          <w:color w:val="000000"/>
          <w:sz w:val="22"/>
          <w:szCs w:val="22"/>
        </w:rPr>
        <w:t xml:space="preserve">No se aceptan variantes. </w:t>
      </w:r>
    </w:p>
    <w:p>
      <w:pPr>
        <w:pStyle w:val="Normal"/>
        <w:pBdr/>
        <w:tabs>
          <w:tab w:val="clear" w:pos="720"/>
          <w:tab w:val="center" w:pos="4252" w:leader="none"/>
          <w:tab w:val="right" w:pos="8504" w:leader="none"/>
        </w:tabs>
        <w:rPr>
          <w:b/>
          <w:bCs/>
          <w:i w:val="false"/>
          <w:iCs w:val="false"/>
          <w:color w:val="000000"/>
          <w:sz w:val="22"/>
          <w:szCs w:val="22"/>
        </w:rPr>
      </w:pPr>
      <w:r>
        <w:rPr>
          <w:b/>
          <w:bCs/>
          <w:i w:val="false"/>
          <w:iCs w:val="false"/>
          <w:color w:val="000000"/>
          <w:sz w:val="22"/>
          <w:szCs w:val="22"/>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
        <w:pBdr/>
        <w:tabs>
          <w:tab w:val="clear" w:pos="720"/>
          <w:tab w:val="center" w:pos="4252" w:leader="none"/>
          <w:tab w:val="right" w:pos="8504" w:leader="none"/>
        </w:tabs>
        <w:rPr>
          <w:b/>
          <w:bCs/>
          <w:i w:val="false"/>
          <w:iCs w:val="false"/>
          <w:color w:val="000000"/>
        </w:rPr>
      </w:pPr>
      <w:r>
        <w:rPr>
          <w:b/>
          <w:bCs/>
          <w:i w:val="false"/>
          <w:iCs w:val="false"/>
          <w:color w:val="000000"/>
        </w:rPr>
      </w:r>
    </w:p>
    <w:tbl>
      <w:tblPr>
        <w:tblStyle w:val="affffffffff2"/>
        <w:tblW w:w="9375" w:type="dxa"/>
        <w:jc w:val="start"/>
        <w:tblInd w:w="-219" w:type="dxa"/>
        <w:tblLayout w:type="fixed"/>
        <w:tblCellMar>
          <w:top w:w="0" w:type="dxa"/>
          <w:start w:w="108" w:type="dxa"/>
          <w:bottom w:w="0" w:type="dxa"/>
          <w:end w:w="108" w:type="dxa"/>
        </w:tblCellMar>
        <w:tblLook w:val="0000" w:firstRow="0" w:noVBand="0" w:lastRow="0" w:firstColumn="0" w:lastColumn="0" w:noHBand="0"/>
      </w:tblPr>
      <w:tblGrid>
        <w:gridCol w:w="9375"/>
      </w:tblGrid>
      <w:tr>
        <w:trPr>
          <w:trHeight w:val="660" w:hRule="atLeast"/>
        </w:trPr>
        <w:tc>
          <w:tcPr>
            <w:tcW w:w="9375" w:type="dxa"/>
            <w:tcBorders/>
            <w:shd w:color="auto" w:fill="00B0F0" w:val="clear"/>
          </w:tcPr>
          <w:p>
            <w:pPr>
              <w:pStyle w:val="Normal"/>
              <w:pBdr/>
              <w:jc w:val="center"/>
              <w:rPr>
                <w:b/>
                <w:bCs/>
                <w:i w:val="false"/>
                <w:iCs w:val="false"/>
                <w:color w:val="FFFFFF"/>
                <w:sz w:val="22"/>
                <w:szCs w:val="22"/>
              </w:rPr>
            </w:pPr>
            <w:r>
              <w:rPr>
                <w:b/>
                <w:bCs/>
                <w:i w:val="false"/>
                <w:iCs w:val="false"/>
                <w:color w:val="FFFFFF"/>
                <w:sz w:val="22"/>
                <w:szCs w:val="22"/>
              </w:rPr>
              <w:t>Anexo IV</w:t>
            </w:r>
          </w:p>
          <w:p>
            <w:pPr>
              <w:pStyle w:val="Normal"/>
              <w:pBdr/>
              <w:jc w:val="center"/>
              <w:rPr>
                <w:b/>
                <w:bCs/>
                <w:i w:val="false"/>
                <w:iCs w:val="false"/>
                <w:color w:val="FFFFFF"/>
                <w:sz w:val="22"/>
                <w:szCs w:val="22"/>
              </w:rPr>
            </w:pPr>
            <w:r>
              <w:rPr>
                <w:b/>
                <w:bCs/>
                <w:i w:val="false"/>
                <w:iCs w:val="false"/>
                <w:color w:val="FFFFFF"/>
                <w:sz w:val="22"/>
                <w:szCs w:val="22"/>
              </w:rPr>
              <w:t>Documentación a presentar por las empresas</w:t>
            </w:r>
          </w:p>
        </w:tc>
      </w:tr>
    </w:tbl>
    <w:p>
      <w:pPr>
        <w:pStyle w:val="Normal"/>
        <w:pBdr/>
        <w:tabs>
          <w:tab w:val="clear" w:pos="720"/>
          <w:tab w:val="center" w:pos="4252" w:leader="none"/>
          <w:tab w:val="right" w:pos="8504" w:leader="none"/>
        </w:tabs>
        <w:rPr>
          <w:b/>
          <w:bCs/>
          <w:i w:val="false"/>
          <w:iCs w:val="false"/>
        </w:rPr>
      </w:pPr>
      <w:r>
        <w:rPr>
          <w:b/>
          <w:bCs/>
          <w:i w:val="false"/>
          <w:iCs w:val="false"/>
          <w:color w:val="000000"/>
        </w:rPr>
        <w:t xml:space="preserve">  </w:t>
      </w:r>
    </w:p>
    <w:tbl>
      <w:tblPr>
        <w:tblStyle w:val="affffffffff3"/>
        <w:tblW w:w="9240" w:type="dxa"/>
        <w:jc w:val="start"/>
        <w:tblInd w:w="-208" w:type="dxa"/>
        <w:tblLayout w:type="fixed"/>
        <w:tblCellMar>
          <w:top w:w="0" w:type="dxa"/>
          <w:start w:w="108" w:type="dxa"/>
          <w:bottom w:w="0" w:type="dxa"/>
          <w:end w:w="108" w:type="dxa"/>
        </w:tblCellMar>
        <w:tblLook w:val="0000" w:firstRow="0" w:noVBand="0" w:lastRow="0" w:firstColumn="0" w:lastColumn="0" w:noHBand="0"/>
      </w:tblPr>
      <w:tblGrid>
        <w:gridCol w:w="9240"/>
      </w:tblGrid>
      <w:tr>
        <w:trPr>
          <w:trHeight w:val="321" w:hRule="atLeast"/>
        </w:trPr>
        <w:tc>
          <w:tcPr>
            <w:tcW w:w="9240" w:type="dxa"/>
            <w:tcBorders/>
            <w:shd w:color="auto" w:fill="00B0F0" w:val="clear"/>
          </w:tcPr>
          <w:p>
            <w:pPr>
              <w:pStyle w:val="Normal"/>
              <w:pBdr/>
              <w:ind w:hanging="2"/>
              <w:rPr>
                <w:i w:val="false"/>
                <w:iCs w:val="false"/>
                <w:color w:val="FFFFFF"/>
                <w:sz w:val="22"/>
                <w:szCs w:val="22"/>
              </w:rPr>
            </w:pPr>
            <w:bookmarkStart w:id="5" w:name="bookmark=id.gjdgxs"/>
            <w:bookmarkEnd w:id="5"/>
            <w:r>
              <w:rPr>
                <w:b/>
                <w:bCs/>
                <w:i w:val="false"/>
                <w:iCs w:val="false"/>
                <w:color w:val="FFFFFF"/>
                <w:sz w:val="22"/>
                <w:szCs w:val="22"/>
              </w:rPr>
              <w:t>Anexo IV.1. Documentación empresa/s propuesta/s como adjudicataria/s</w:t>
            </w:r>
          </w:p>
          <w:p>
            <w:pPr>
              <w:pStyle w:val="Normal"/>
              <w:pBdr/>
              <w:ind w:hanging="2"/>
              <w:jc w:val="both"/>
              <w:rPr>
                <w:b/>
                <w:bCs/>
                <w:i w:val="false"/>
                <w:iCs w:val="false"/>
                <w:color w:val="FFFFFF"/>
                <w:sz w:val="22"/>
                <w:szCs w:val="22"/>
              </w:rPr>
            </w:pPr>
            <w:r>
              <w:rPr>
                <w:b/>
                <w:bCs/>
                <w:i w:val="false"/>
                <w:iCs w:val="false"/>
                <w:color w:val="FFFFFF"/>
                <w:sz w:val="22"/>
                <w:szCs w:val="22"/>
              </w:rPr>
            </w:r>
          </w:p>
        </w:tc>
      </w:tr>
    </w:tbl>
    <w:p>
      <w:pPr>
        <w:pStyle w:val="Normal"/>
        <w:pBdr/>
        <w:tabs>
          <w:tab w:val="clear" w:pos="720"/>
          <w:tab w:val="left" w:pos="567" w:leader="none"/>
        </w:tabs>
        <w:ind w:end="-569"/>
        <w:jc w:val="both"/>
        <w:rPr>
          <w:i w:val="false"/>
          <w:iCs w:val="false"/>
          <w:color w:val="000000"/>
          <w:sz w:val="22"/>
          <w:szCs w:val="22"/>
        </w:rPr>
      </w:pPr>
      <w:r>
        <w:rPr>
          <w:i w:val="false"/>
          <w:iCs w:val="false"/>
          <w:color w:val="000000"/>
          <w:sz w:val="22"/>
          <w:szCs w:val="22"/>
        </w:rPr>
      </w:r>
    </w:p>
    <w:p>
      <w:pPr>
        <w:pStyle w:val="Normal"/>
        <w:numPr>
          <w:ilvl w:val="0"/>
          <w:numId w:val="5"/>
        </w:numPr>
        <w:pBdr/>
        <w:tabs>
          <w:tab w:val="clear" w:pos="720"/>
          <w:tab w:val="left" w:pos="0" w:leader="none"/>
        </w:tabs>
        <w:ind w:hanging="207" w:start="142"/>
        <w:jc w:val="both"/>
        <w:rPr>
          <w:b/>
          <w:bCs/>
          <w:i w:val="false"/>
          <w:iCs w:val="false"/>
          <w:color w:val="0070C0"/>
        </w:rPr>
      </w:pPr>
      <w:r>
        <w:rPr>
          <w:b/>
          <w:bCs/>
          <w:i w:val="false"/>
          <w:iCs w:val="false"/>
          <w:color w:val="0070C0"/>
        </w:rPr>
        <w:t xml:space="preserve">Anexo II </w:t>
      </w:r>
      <w:r>
        <w:rPr>
          <w:i w:val="false"/>
          <w:iCs w:val="false"/>
          <w:color w:val="0070C0"/>
        </w:rPr>
        <w:t xml:space="preserve">(“Datos identificativos de la empresa participante en la licitación”) </w:t>
      </w:r>
      <w:r>
        <w:rPr>
          <w:i w:val="false"/>
          <w:iCs w:val="false"/>
        </w:rPr>
        <w:t>del pliego de cláusulas administrativas particulares, debidamente cumplimentado</w:t>
      </w:r>
      <w:r>
        <w:rPr>
          <w:b/>
          <w:bCs/>
          <w:i w:val="false"/>
          <w:iCs w:val="false"/>
          <w:color w:val="0070C0"/>
        </w:rPr>
        <w:t>.</w:t>
      </w:r>
    </w:p>
    <w:p>
      <w:pPr>
        <w:pStyle w:val="Normal"/>
        <w:pBdr/>
        <w:tabs>
          <w:tab w:val="clear" w:pos="720"/>
          <w:tab w:val="left" w:pos="0" w:leader="none"/>
        </w:tabs>
        <w:ind w:start="142"/>
        <w:jc w:val="both"/>
        <w:rPr>
          <w:b/>
          <w:bCs/>
          <w:i w:val="false"/>
          <w:iCs w:val="false"/>
          <w:color w:val="0070C0"/>
        </w:rPr>
      </w:pPr>
      <w:r>
        <w:rPr>
          <w:b/>
          <w:bCs/>
          <w:i w:val="false"/>
          <w:iCs w:val="false"/>
          <w:color w:val="0070C0"/>
        </w:rPr>
      </w:r>
    </w:p>
    <w:p>
      <w:pPr>
        <w:pStyle w:val="Normal"/>
        <w:pBdr/>
        <w:tabs>
          <w:tab w:val="clear" w:pos="720"/>
          <w:tab w:val="left" w:pos="0" w:leader="none"/>
        </w:tabs>
        <w:ind w:start="142"/>
        <w:jc w:val="both"/>
        <w:rPr>
          <w:b/>
          <w:bCs/>
          <w:i w:val="false"/>
          <w:iCs w:val="false"/>
          <w:color w:val="0070C0"/>
        </w:rPr>
      </w:pPr>
      <w:r>
        <w:rPr>
          <w:b/>
          <w:bCs/>
          <w:i w:val="false"/>
          <w:iCs w:val="false"/>
          <w:color w:val="0070C0"/>
        </w:rPr>
      </w:r>
    </w:p>
    <w:p>
      <w:pPr>
        <w:pStyle w:val="Normal"/>
        <w:numPr>
          <w:ilvl w:val="0"/>
          <w:numId w:val="5"/>
        </w:numPr>
        <w:pBdr/>
        <w:tabs>
          <w:tab w:val="clear" w:pos="720"/>
          <w:tab w:val="left" w:pos="0" w:leader="none"/>
        </w:tabs>
        <w:ind w:hanging="207" w:start="142"/>
        <w:jc w:val="both"/>
        <w:rPr>
          <w:b/>
          <w:bCs/>
          <w:i w:val="false"/>
          <w:iCs w:val="false"/>
          <w:color w:val="0070C0"/>
        </w:rPr>
      </w:pPr>
      <w:r>
        <w:rPr>
          <w:b/>
          <w:bCs/>
          <w:i w:val="false"/>
          <w:iCs w:val="false"/>
          <w:color w:val="0070C0"/>
        </w:rPr>
        <w:t xml:space="preserve">Declaración Responsable General de la empresa adjudicataria Anexo IV.2, </w:t>
      </w:r>
      <w:r>
        <w:rPr>
          <w:i w:val="false"/>
          <w:iCs w:val="false"/>
        </w:rPr>
        <w:t>debidamente cumplimentado.</w:t>
      </w:r>
    </w:p>
    <w:p>
      <w:pPr>
        <w:pStyle w:val="Normal"/>
        <w:pBdr/>
        <w:tabs>
          <w:tab w:val="clear" w:pos="720"/>
          <w:tab w:val="left" w:pos="0" w:leader="none"/>
        </w:tabs>
        <w:ind w:start="142" w:end="-569"/>
        <w:jc w:val="both"/>
        <w:rPr>
          <w:i w:val="false"/>
          <w:iCs w:val="false"/>
          <w:color w:val="000000"/>
          <w:sz w:val="22"/>
          <w:szCs w:val="22"/>
        </w:rPr>
      </w:pPr>
      <w:r>
        <w:rPr>
          <w:i w:val="false"/>
          <w:iCs w:val="false"/>
          <w:color w:val="000000"/>
          <w:sz w:val="22"/>
          <w:szCs w:val="22"/>
        </w:rPr>
      </w:r>
    </w:p>
    <w:p>
      <w:pPr>
        <w:pStyle w:val="Normal"/>
        <w:tabs>
          <w:tab w:val="clear" w:pos="720"/>
          <w:tab w:val="left" w:pos="567" w:leader="none"/>
        </w:tabs>
        <w:ind w:start="283" w:end="1"/>
        <w:jc w:val="both"/>
        <w:rPr>
          <w:i w:val="false"/>
          <w:iCs w:val="false"/>
        </w:rPr>
      </w:pPr>
      <w:r>
        <w:rPr>
          <w:b/>
          <w:bCs/>
          <w:i w:val="false"/>
          <w:iCs w:val="false"/>
          <w:color w:val="0070C0"/>
        </w:rPr>
        <w:tab/>
        <w:t xml:space="preserve">2.bis. Certificado de inscripción del Plan de Igualdad, </w:t>
      </w:r>
      <w:r>
        <w:rPr>
          <w:i w:val="false"/>
          <w:iCs w:val="false"/>
        </w:rPr>
        <w:t>Las empresas de 50 o más trabajadores, aportarán el  certificado de la inscripción en el registro laboral correspondiente del plan para la igualdad entre hombres y mujeres.</w:t>
      </w:r>
    </w:p>
    <w:p>
      <w:pPr>
        <w:pStyle w:val="Normal"/>
        <w:tabs>
          <w:tab w:val="clear" w:pos="720"/>
          <w:tab w:val="left" w:pos="567" w:leader="none"/>
        </w:tabs>
        <w:ind w:hanging="2" w:end="1"/>
        <w:jc w:val="both"/>
        <w:rPr>
          <w:i w:val="false"/>
          <w:iCs w:val="false"/>
        </w:rPr>
      </w:pPr>
      <w:r>
        <w:rPr>
          <w:i w:val="false"/>
          <w:iCs w:val="false"/>
        </w:rPr>
      </w:r>
    </w:p>
    <w:p>
      <w:pPr>
        <w:pStyle w:val="Normal"/>
        <w:numPr>
          <w:ilvl w:val="0"/>
          <w:numId w:val="5"/>
        </w:numPr>
        <w:pBdr/>
        <w:tabs>
          <w:tab w:val="clear" w:pos="720"/>
          <w:tab w:val="left" w:pos="0" w:leader="none"/>
        </w:tabs>
        <w:ind w:hanging="207" w:start="142"/>
        <w:jc w:val="both"/>
        <w:rPr>
          <w:i w:val="false"/>
          <w:iCs w:val="false"/>
        </w:rPr>
      </w:pPr>
      <w:r>
        <w:rPr>
          <w:b/>
          <w:bCs/>
          <w:i w:val="false"/>
          <w:iCs w:val="false"/>
          <w:color w:val="0070C0"/>
        </w:rPr>
        <w:t xml:space="preserve"> </w:t>
      </w:r>
      <w:r>
        <w:rPr>
          <w:b/>
          <w:bCs/>
          <w:i w:val="false"/>
          <w:iCs w:val="false"/>
          <w:color w:val="0070C0"/>
        </w:rPr>
        <w:t xml:space="preserve">Documentación justificativa de hallarse al corriente en el cumplimiento de sus obligaciones tributarias y con la Seguridad Social </w:t>
      </w:r>
      <w:r>
        <w:rPr>
          <w:i w:val="false"/>
          <w:iCs w:val="false"/>
        </w:rPr>
        <w:t>en las condiciones descritas en el pliego de cláusulas administrativas particulares que rige el presente procedimiento.</w:t>
      </w:r>
    </w:p>
    <w:p>
      <w:pPr>
        <w:pStyle w:val="Normal"/>
        <w:pBdr/>
        <w:tabs>
          <w:tab w:val="clear" w:pos="720"/>
          <w:tab w:val="left" w:pos="0" w:leader="none"/>
        </w:tabs>
        <w:spacing w:lineRule="auto" w:line="276" w:before="0" w:after="200"/>
        <w:ind w:start="142"/>
        <w:rPr>
          <w:rFonts w:ascii="Calibri" w:hAnsi="Calibri" w:eastAsia="Calibri" w:cs="Calibri"/>
          <w:color w:val="000000"/>
          <w:sz w:val="22"/>
          <w:szCs w:val="22"/>
        </w:rPr>
      </w:pPr>
      <w:r>
        <w:rPr>
          <w:rFonts w:eastAsia="Calibri" w:cs="Calibri" w:ascii="Calibri" w:hAnsi="Calibri"/>
          <w:color w:val="000000"/>
          <w:sz w:val="22"/>
          <w:szCs w:val="22"/>
        </w:rPr>
      </w:r>
    </w:p>
    <w:p>
      <w:pPr>
        <w:pStyle w:val="Normal"/>
        <w:numPr>
          <w:ilvl w:val="0"/>
          <w:numId w:val="5"/>
        </w:numPr>
        <w:pBdr/>
        <w:tabs>
          <w:tab w:val="clear" w:pos="720"/>
          <w:tab w:val="left" w:pos="0" w:leader="none"/>
        </w:tabs>
        <w:ind w:hanging="207" w:start="142"/>
        <w:jc w:val="both"/>
        <w:rPr>
          <w:b/>
          <w:bCs/>
          <w:i w:val="false"/>
          <w:iCs w:val="false"/>
          <w:color w:val="0070C0"/>
        </w:rPr>
      </w:pPr>
      <w:r>
        <w:rPr>
          <w:b/>
          <w:bCs/>
          <w:i w:val="false"/>
          <w:iCs w:val="false"/>
          <w:color w:val="0070C0"/>
        </w:rPr>
        <w:t>Certificado de la titularidad bancaria de la cuenta que designa la empresa para el pago de los servicios objeto del contrato.</w:t>
      </w:r>
    </w:p>
    <w:p>
      <w:pPr>
        <w:pStyle w:val="Normal"/>
        <w:pBdr/>
        <w:tabs>
          <w:tab w:val="clear" w:pos="720"/>
          <w:tab w:val="left" w:pos="0" w:leader="none"/>
        </w:tabs>
        <w:jc w:val="both"/>
        <w:rPr>
          <w:b/>
          <w:bCs/>
          <w:i w:val="false"/>
          <w:iCs w:val="false"/>
          <w:color w:val="0070C0"/>
        </w:rPr>
      </w:pPr>
      <w:r>
        <w:rPr>
          <w:b/>
          <w:bCs/>
          <w:i w:val="false"/>
          <w:iCs w:val="false"/>
          <w:color w:val="0070C0"/>
        </w:rPr>
      </w:r>
    </w:p>
    <w:p>
      <w:pPr>
        <w:pStyle w:val="Normal"/>
        <w:pBdr/>
        <w:tabs>
          <w:tab w:val="clear" w:pos="720"/>
          <w:tab w:val="left" w:pos="0" w:leader="none"/>
        </w:tabs>
        <w:jc w:val="both"/>
        <w:rPr>
          <w:b/>
          <w:bCs/>
          <w:i w:val="false"/>
          <w:iCs w:val="false"/>
          <w:color w:val="0070C0"/>
        </w:rPr>
      </w:pPr>
      <w:r>
        <w:rPr>
          <w:b/>
          <w:bCs/>
          <w:i w:val="false"/>
          <w:iCs w:val="false"/>
          <w:color w:val="0070C0"/>
        </w:rPr>
      </w:r>
    </w:p>
    <w:p>
      <w:pPr>
        <w:pStyle w:val="Normal"/>
        <w:tabs>
          <w:tab w:val="clear" w:pos="720"/>
          <w:tab w:val="left" w:pos="0" w:leader="none"/>
        </w:tabs>
        <w:jc w:val="both"/>
        <w:rPr>
          <w:b/>
          <w:bCs/>
          <w:i w:val="false"/>
          <w:iCs w:val="false"/>
          <w:color w:val="0070C0"/>
        </w:rPr>
      </w:pPr>
      <w:r>
        <w:rPr>
          <w:b/>
          <w:bCs/>
          <w:i w:val="false"/>
          <w:iCs w:val="false"/>
          <w:color w:val="0070C0"/>
        </w:rPr>
        <w:t xml:space="preserve">5. Declaración responsable en materia de protección de datos (Anexo IV.4) </w:t>
      </w:r>
      <w:r>
        <w:rPr>
          <w:i w:val="false"/>
          <w:iCs w:val="false"/>
        </w:rPr>
        <w:t>debidamente cumplimentado.</w:t>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ind w:start="567"/>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ind w:start="720"/>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affffffffff4"/>
        <w:tblW w:w="9330" w:type="dxa"/>
        <w:jc w:val="start"/>
        <w:tblInd w:w="-234" w:type="dxa"/>
        <w:tblLayout w:type="fixed"/>
        <w:tblCellMar>
          <w:top w:w="0" w:type="dxa"/>
          <w:start w:w="108" w:type="dxa"/>
          <w:bottom w:w="0" w:type="dxa"/>
          <w:end w:w="108" w:type="dxa"/>
        </w:tblCellMar>
        <w:tblLook w:val="0000" w:firstRow="0" w:noVBand="0" w:lastRow="0" w:firstColumn="0" w:lastColumn="0" w:noHBand="0"/>
      </w:tblPr>
      <w:tblGrid>
        <w:gridCol w:w="9330"/>
      </w:tblGrid>
      <w:tr>
        <w:trPr>
          <w:trHeight w:val="690" w:hRule="atLeast"/>
        </w:trPr>
        <w:tc>
          <w:tcPr>
            <w:tcW w:w="9330" w:type="dxa"/>
            <w:tcBorders/>
            <w:shd w:color="auto" w:fill="00B0F0" w:val="clear"/>
          </w:tcPr>
          <w:p>
            <w:pPr>
              <w:pStyle w:val="Normal"/>
              <w:jc w:val="center"/>
              <w:rPr>
                <w:b/>
                <w:bCs/>
                <w:i w:val="false"/>
                <w:iCs w:val="false"/>
                <w:color w:val="FFFFFF"/>
                <w:sz w:val="24"/>
                <w:szCs w:val="24"/>
              </w:rPr>
            </w:pPr>
            <w:r>
              <w:rPr>
                <w:b/>
                <w:bCs/>
                <w:i w:val="false"/>
                <w:iCs w:val="false"/>
                <w:color w:val="FFFFFF"/>
                <w:sz w:val="24"/>
                <w:szCs w:val="24"/>
              </w:rPr>
              <w:t>Anexo IV.2</w:t>
            </w:r>
          </w:p>
          <w:p>
            <w:pPr>
              <w:pStyle w:val="Normal"/>
              <w:jc w:val="center"/>
              <w:rPr>
                <w:b/>
                <w:bCs/>
                <w:i w:val="false"/>
                <w:iCs w:val="false"/>
                <w:color w:val="FFFFFF"/>
                <w:sz w:val="24"/>
                <w:szCs w:val="24"/>
              </w:rPr>
            </w:pPr>
            <w:r>
              <w:rPr>
                <w:b/>
                <w:bCs/>
                <w:i w:val="false"/>
                <w:iCs w:val="false"/>
                <w:color w:val="FFFFFF"/>
                <w:sz w:val="24"/>
                <w:szCs w:val="24"/>
              </w:rPr>
              <w:t>Declaración Responsable General de la empresa adjudicataria</w:t>
            </w:r>
          </w:p>
        </w:tc>
      </w:tr>
    </w:tbl>
    <w:p>
      <w:pPr>
        <w:pStyle w:val="Normal"/>
        <w:ind w:hanging="708" w:start="708"/>
        <w:jc w:val="both"/>
        <w:rPr>
          <w:b/>
          <w:bCs/>
          <w:i w:val="false"/>
          <w:iCs w:val="false"/>
          <w:color w:val="000080"/>
          <w:sz w:val="22"/>
          <w:szCs w:val="22"/>
        </w:rPr>
      </w:pPr>
      <w:r>
        <w:rPr>
          <w:b/>
          <w:bCs/>
          <w:i w:val="false"/>
          <w:iCs w:val="false"/>
          <w:color w:val="000080"/>
          <w:sz w:val="22"/>
          <w:szCs w:val="22"/>
        </w:rPr>
      </w:r>
    </w:p>
    <w:p>
      <w:pPr>
        <w:pStyle w:val="Normal"/>
        <w:ind w:hanging="708" w:start="708"/>
        <w:jc w:val="both"/>
        <w:rPr>
          <w:b/>
          <w:bCs/>
          <w:i w:val="false"/>
          <w:iCs w:val="false"/>
          <w:color w:val="000000"/>
          <w:sz w:val="16"/>
          <w:szCs w:val="16"/>
        </w:rPr>
      </w:pPr>
      <w:r>
        <w:rPr>
          <w:b/>
          <w:bCs/>
          <w:i w:val="false"/>
          <w:iCs w:val="false"/>
          <w:color w:val="000000"/>
          <w:sz w:val="16"/>
          <w:szCs w:val="16"/>
        </w:rPr>
        <w:t>(Es obligatorio consignar todos los datos relativos al apoderamiento del representante de la empresa)</w:t>
      </w:r>
    </w:p>
    <w:p>
      <w:pPr>
        <w:pStyle w:val="Normal"/>
        <w:ind w:hanging="708" w:start="708"/>
        <w:jc w:val="both"/>
        <w:rPr>
          <w:b/>
          <w:bCs/>
          <w:i w:val="false"/>
          <w:iCs w:val="false"/>
          <w:color w:val="000000"/>
          <w:sz w:val="16"/>
          <w:szCs w:val="16"/>
        </w:rPr>
      </w:pPr>
      <w:r>
        <w:rPr>
          <w:b/>
          <w:bCs/>
          <w:i w:val="false"/>
          <w:iCs w:val="false"/>
          <w:color w:val="000000"/>
          <w:sz w:val="16"/>
          <w:szCs w:val="16"/>
        </w:rPr>
      </w:r>
      <w:bookmarkStart w:id="6" w:name="_heading=h.gjdgxs"/>
      <w:bookmarkEnd w:id="6"/>
    </w:p>
    <w:p>
      <w:pPr>
        <w:pStyle w:val="Normal"/>
        <w:jc w:val="both"/>
        <w:rPr>
          <w:i w:val="false"/>
          <w:iCs w:val="false"/>
          <w:color w:val="000000"/>
          <w:sz w:val="22"/>
          <w:szCs w:val="22"/>
        </w:rPr>
      </w:pPr>
      <w:r>
        <w:rPr>
          <w:i w:val="false"/>
          <w:iCs w:val="false"/>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
        <w:jc w:val="both"/>
        <w:rPr>
          <w:i w:val="false"/>
          <w:iCs w:val="false"/>
          <w:color w:val="000000"/>
          <w:sz w:val="22"/>
          <w:szCs w:val="22"/>
        </w:rPr>
      </w:pPr>
      <w:r>
        <w:rPr>
          <w:i w:val="false"/>
          <w:iCs w:val="false"/>
          <w:color w:val="000000"/>
          <w:sz w:val="22"/>
          <w:szCs w:val="22"/>
        </w:rPr>
      </w:r>
    </w:p>
    <w:p>
      <w:pPr>
        <w:pStyle w:val="Normal"/>
        <w:jc w:val="both"/>
        <w:rPr>
          <w:i w:val="false"/>
          <w:iCs w:val="false"/>
          <w:color w:val="000000"/>
          <w:sz w:val="16"/>
          <w:szCs w:val="16"/>
        </w:rPr>
      </w:pPr>
      <w:r>
        <w:rPr>
          <w:b/>
          <w:bCs/>
          <w:i w:val="false"/>
          <w:iCs w:val="false"/>
          <w:color w:val="000000"/>
          <w:sz w:val="22"/>
          <w:szCs w:val="22"/>
        </w:rPr>
        <w:t xml:space="preserve">DECLARA, bajo su responsabilidad </w:t>
      </w:r>
      <w:r>
        <w:rPr>
          <w:b/>
          <w:bCs/>
          <w:i w:val="false"/>
          <w:iCs w:val="false"/>
          <w:color w:val="000000"/>
          <w:sz w:val="16"/>
          <w:szCs w:val="16"/>
        </w:rPr>
        <w:t>1</w:t>
      </w:r>
      <w:r>
        <w:rPr>
          <w:i w:val="false"/>
          <w:iCs w:val="false"/>
          <w:color w:val="000000"/>
          <w:sz w:val="16"/>
          <w:szCs w:val="16"/>
        </w:rPr>
        <w:t xml:space="preserve"> </w:t>
      </w:r>
    </w:p>
    <w:p>
      <w:pPr>
        <w:pStyle w:val="Normal"/>
        <w:jc w:val="both"/>
        <w:rPr>
          <w:i w:val="false"/>
          <w:iCs w:val="false"/>
          <w:sz w:val="16"/>
          <w:szCs w:val="16"/>
        </w:rPr>
      </w:pPr>
      <w:r>
        <w:rPr>
          <w:i w:val="false"/>
          <w:iCs w:val="false"/>
          <w:sz w:val="16"/>
          <w:szCs w:val="16"/>
        </w:rPr>
      </w:r>
    </w:p>
    <w:p>
      <w:pPr>
        <w:pStyle w:val="Normal"/>
        <w:jc w:val="both"/>
        <w:rPr>
          <w:i w:val="false"/>
          <w:iCs w:val="false"/>
          <w:color w:val="000000"/>
          <w:sz w:val="16"/>
          <w:szCs w:val="16"/>
        </w:rPr>
      </w:pPr>
      <w:r>
        <w:rPr>
          <w:i w:val="false"/>
          <w:iCs w:val="false"/>
          <w:color w:val="000000"/>
          <w:sz w:val="16"/>
          <w:szCs w:val="16"/>
        </w:rPr>
      </w:r>
    </w:p>
    <w:p>
      <w:pPr>
        <w:pStyle w:val="Normal"/>
        <w:tabs>
          <w:tab w:val="clear" w:pos="720"/>
          <w:tab w:val="left" w:pos="8505" w:leader="none"/>
        </w:tabs>
        <w:ind w:hanging="284" w:start="283"/>
        <w:jc w:val="both"/>
        <w:rPr>
          <w:i w:val="false"/>
          <w:iCs w:val="false"/>
          <w:color w:val="000000"/>
          <w:sz w:val="22"/>
          <w:szCs w:val="22"/>
        </w:rPr>
      </w:pPr>
      <w:r>
        <w:rPr>
          <w:rFonts w:eastAsia="Calibri" w:cs="Calibri" w:ascii="Calibri" w:hAnsi="Calibri"/>
          <w:i w:val="false"/>
          <w:iCs w:val="false"/>
          <w:color w:val="000000"/>
          <w:sz w:val="22"/>
          <w:szCs w:val="22"/>
        </w:rPr>
        <w:t>1.-</w:t>
        <w:tab/>
      </w:r>
      <w:r>
        <w:rPr>
          <w:i w:val="false"/>
          <w:iCs w:val="false"/>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
        <w:ind w:hanging="284" w:start="283" w:end="425"/>
        <w:jc w:val="both"/>
        <w:rPr>
          <w:i w:val="false"/>
          <w:iCs w:val="false"/>
          <w:color w:val="000000"/>
          <w:sz w:val="22"/>
          <w:szCs w:val="22"/>
        </w:rPr>
      </w:pPr>
      <w:r>
        <w:rPr>
          <w:i w:val="false"/>
          <w:iCs w:val="false"/>
          <w:color w:val="000000"/>
          <w:sz w:val="22"/>
          <w:szCs w:val="22"/>
        </w:rPr>
      </w:r>
    </w:p>
    <w:p>
      <w:pPr>
        <w:pStyle w:val="Normal"/>
        <w:tabs>
          <w:tab w:val="clear" w:pos="720"/>
          <w:tab w:val="left" w:pos="8505" w:leader="none"/>
        </w:tabs>
        <w:ind w:hanging="284" w:start="283"/>
        <w:jc w:val="both"/>
        <w:rPr>
          <w:i w:val="false"/>
          <w:iCs w:val="false"/>
          <w:color w:val="000000"/>
          <w:sz w:val="22"/>
          <w:szCs w:val="22"/>
        </w:rPr>
      </w:pPr>
      <w:r>
        <w:rPr>
          <w:i w:val="false"/>
          <w:iCs w:val="false"/>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pPr>
        <w:pStyle w:val="Normal"/>
        <w:ind w:hanging="284" w:start="283" w:end="425"/>
        <w:jc w:val="both"/>
        <w:rPr>
          <w:i w:val="false"/>
          <w:iCs w:val="false"/>
          <w:color w:val="000000"/>
          <w:sz w:val="22"/>
          <w:szCs w:val="22"/>
        </w:rPr>
      </w:pPr>
      <w:r>
        <w:rPr>
          <w:i w:val="false"/>
          <w:iCs w:val="false"/>
          <w:color w:val="000000"/>
          <w:sz w:val="22"/>
          <w:szCs w:val="22"/>
        </w:rPr>
      </w:r>
    </w:p>
    <w:p>
      <w:pPr>
        <w:pStyle w:val="Normal"/>
        <w:ind w:hanging="284" w:start="283"/>
        <w:jc w:val="both"/>
        <w:rPr>
          <w:i w:val="false"/>
          <w:iCs w:val="false"/>
          <w:color w:val="000000"/>
          <w:sz w:val="22"/>
          <w:szCs w:val="22"/>
        </w:rPr>
      </w:pPr>
      <w:r>
        <w:rPr>
          <w:i w:val="false"/>
          <w:iCs w:val="false"/>
          <w:color w:val="000000"/>
          <w:sz w:val="22"/>
          <w:szCs w:val="22"/>
        </w:rPr>
        <w:t xml:space="preserve">    </w:t>
      </w:r>
      <w:r>
        <w:rPr>
          <w:i w:val="false"/>
          <w:iCs w:val="false"/>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false"/>
          <w:iCs w:val="false"/>
          <w:color w:val="000000"/>
          <w:sz w:val="22"/>
          <w:szCs w:val="22"/>
          <w:highlight w:val="white"/>
        </w:rPr>
        <w:t>po de ejecución del contrato,</w:t>
      </w:r>
      <w:r>
        <w:rPr>
          <w:i w:val="false"/>
          <w:iCs w:val="false"/>
          <w:color w:val="000000"/>
          <w:sz w:val="22"/>
          <w:szCs w:val="22"/>
        </w:rPr>
        <w:t xml:space="preserve"> con el compromiso de comunicar a ASEPEYO cualquier variación respecto a los mismos. </w:t>
      </w:r>
    </w:p>
    <w:p>
      <w:pPr>
        <w:pStyle w:val="Normal"/>
        <w:ind w:hanging="284" w:start="283" w:end="425"/>
        <w:jc w:val="both"/>
        <w:rPr>
          <w:i w:val="false"/>
          <w:iCs w:val="false"/>
          <w:color w:val="000000"/>
          <w:sz w:val="22"/>
          <w:szCs w:val="22"/>
        </w:rPr>
      </w:pPr>
      <w:r>
        <w:rPr>
          <w:i w:val="false"/>
          <w:iCs w:val="false"/>
          <w:color w:val="000000"/>
          <w:sz w:val="22"/>
          <w:szCs w:val="22"/>
        </w:rPr>
      </w:r>
    </w:p>
    <w:p>
      <w:pPr>
        <w:pStyle w:val="Normal"/>
        <w:tabs>
          <w:tab w:val="clear" w:pos="720"/>
          <w:tab w:val="left" w:pos="8505" w:leader="none"/>
        </w:tabs>
        <w:ind w:hanging="284" w:start="283"/>
        <w:jc w:val="both"/>
        <w:rPr>
          <w:i w:val="false"/>
          <w:iCs w:val="false"/>
          <w:color w:val="000000"/>
          <w:sz w:val="22"/>
          <w:szCs w:val="22"/>
        </w:rPr>
      </w:pPr>
      <w:r>
        <w:rPr>
          <w:i w:val="false"/>
          <w:iCs w:val="false"/>
          <w:sz w:val="22"/>
          <w:szCs w:val="22"/>
        </w:rPr>
        <w:t>3</w:t>
      </w:r>
      <w:r>
        <w:rPr>
          <w:i w:val="false"/>
          <w:iCs w:val="false"/>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pPr>
        <w:pStyle w:val="Normal"/>
        <w:jc w:val="both"/>
        <w:rPr>
          <w:i w:val="false"/>
          <w:iCs w:val="false"/>
          <w:color w:val="000000"/>
          <w:sz w:val="22"/>
          <w:szCs w:val="22"/>
        </w:rPr>
      </w:pPr>
      <w:r>
        <w:rPr>
          <w:i w:val="false"/>
          <w:iCs w:val="false"/>
          <w:color w:val="000000"/>
          <w:sz w:val="22"/>
          <w:szCs w:val="22"/>
        </w:rPr>
      </w:r>
    </w:p>
    <w:p>
      <w:pPr>
        <w:pStyle w:val="Normal"/>
        <w:ind w:hanging="284" w:start="283"/>
        <w:jc w:val="both"/>
        <w:rPr>
          <w:i w:val="false"/>
          <w:iCs w:val="false"/>
          <w:color w:val="000000"/>
          <w:sz w:val="22"/>
          <w:szCs w:val="22"/>
        </w:rPr>
      </w:pPr>
      <w:r>
        <w:rPr>
          <w:i w:val="false"/>
          <w:iCs w:val="false"/>
          <w:sz w:val="22"/>
          <w:szCs w:val="22"/>
        </w:rPr>
        <w:t>4</w:t>
      </w:r>
      <w:r>
        <w:rPr>
          <w:i w:val="false"/>
          <w:iCs w:val="false"/>
          <w:color w:val="000000"/>
          <w:sz w:val="22"/>
          <w:szCs w:val="22"/>
        </w:rPr>
        <w:t>.- Que la empresa que representa:  (señale la que  corresponda):</w:t>
      </w:r>
    </w:p>
    <w:p>
      <w:pPr>
        <w:pStyle w:val="Normal"/>
        <w:ind w:hanging="284" w:start="283"/>
        <w:jc w:val="both"/>
        <w:rPr>
          <w:i w:val="false"/>
          <w:iCs w:val="false"/>
          <w:color w:val="000000"/>
          <w:sz w:val="22"/>
          <w:szCs w:val="22"/>
          <w:highlight w:val="yellow"/>
        </w:rPr>
      </w:pPr>
      <w:r>
        <w:rPr>
          <w:i w:val="false"/>
          <w:iCs w:val="false"/>
          <w:color w:val="000000"/>
          <w:sz w:val="22"/>
          <w:szCs w:val="22"/>
          <w:highlight w:val="yellow"/>
        </w:rPr>
      </w:r>
    </w:p>
    <w:p>
      <w:pPr>
        <w:pStyle w:val="Normal"/>
        <w:tabs>
          <w:tab w:val="clear" w:pos="720"/>
          <w:tab w:val="left" w:pos="567" w:leader="none"/>
        </w:tabs>
        <w:ind w:start="283"/>
        <w:jc w:val="both"/>
        <w:rPr>
          <w:i w:val="false"/>
          <w:iCs w:val="false"/>
        </w:rPr>
      </w:pPr>
      <w:r>
        <w:rPr>
          <w:i w:val="false"/>
          <w:iCs w:val="false"/>
          <w:sz w:val="22"/>
          <w:szCs w:val="22"/>
        </w:rPr>
        <w:t xml:space="preserve">☐ </w:t>
      </w:r>
      <w:r>
        <w:rPr>
          <w:i w:val="false"/>
          <w:iCs w:val="false"/>
          <w:sz w:val="22"/>
          <w:szCs w:val="22"/>
        </w:rPr>
        <w:t xml:space="preserve">Está clasificada  según </w:t>
      </w:r>
      <w:r>
        <w:rPr>
          <w:i w:val="false"/>
          <w:iCs w:val="false"/>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pPr>
        <w:pStyle w:val="Normal"/>
        <w:tabs>
          <w:tab w:val="clear" w:pos="720"/>
          <w:tab w:val="left" w:pos="567" w:leader="none"/>
        </w:tabs>
        <w:ind w:start="283"/>
        <w:jc w:val="both"/>
        <w:rPr>
          <w:i w:val="false"/>
          <w:iCs w:val="false"/>
          <w:color w:val="000000"/>
          <w:sz w:val="22"/>
          <w:szCs w:val="22"/>
        </w:rPr>
      </w:pPr>
      <w:r>
        <w:rPr>
          <w:i w:val="false"/>
          <w:iCs w:val="false"/>
          <w:color w:val="000000"/>
          <w:sz w:val="22"/>
          <w:szCs w:val="22"/>
        </w:rPr>
      </w:r>
    </w:p>
    <w:p>
      <w:pPr>
        <w:pStyle w:val="Normal"/>
        <w:rPr>
          <w:i w:val="false"/>
          <w:iCs w:val="false"/>
          <w:sz w:val="22"/>
          <w:szCs w:val="22"/>
        </w:rPr>
      </w:pPr>
      <w:r>
        <w:rPr>
          <w:i w:val="false"/>
          <w:iCs w:val="false"/>
          <w:sz w:val="22"/>
          <w:szCs w:val="22"/>
        </w:rPr>
      </w:r>
    </w:p>
    <w:p>
      <w:pPr>
        <w:pStyle w:val="Normal"/>
        <w:rPr>
          <w:i w:val="false"/>
          <w:iCs w:val="false"/>
          <w:sz w:val="22"/>
          <w:szCs w:val="22"/>
        </w:rPr>
      </w:pPr>
      <w:r>
        <w:rPr>
          <w:i w:val="false"/>
          <w:iCs w:val="false"/>
          <w:sz w:val="22"/>
          <w:szCs w:val="22"/>
        </w:rPr>
      </w:r>
    </w:p>
    <w:p>
      <w:pPr>
        <w:pStyle w:val="Normal"/>
        <w:rPr>
          <w:i w:val="false"/>
          <w:iCs w:val="false"/>
          <w:sz w:val="22"/>
          <w:szCs w:val="22"/>
        </w:rPr>
      </w:pPr>
      <w:r>
        <w:rPr>
          <w:i w:val="false"/>
          <w:iCs w:val="false"/>
          <w:sz w:val="22"/>
          <w:szCs w:val="22"/>
        </w:rPr>
      </w:r>
    </w:p>
    <w:p>
      <w:pPr>
        <w:pStyle w:val="Normal"/>
        <w:rPr>
          <w:i w:val="false"/>
          <w:iCs w:val="false"/>
          <w:sz w:val="22"/>
          <w:szCs w:val="22"/>
        </w:rPr>
      </w:pPr>
      <w:r>
        <w:rPr>
          <w:i w:val="false"/>
          <w:iCs w:val="false"/>
          <w:sz w:val="22"/>
          <w:szCs w:val="22"/>
        </w:rPr>
      </w:r>
    </w:p>
    <w:p>
      <w:pPr>
        <w:pStyle w:val="Normal"/>
        <w:rPr>
          <w:i w:val="false"/>
          <w:iCs w:val="false"/>
          <w:sz w:val="22"/>
          <w:szCs w:val="22"/>
        </w:rPr>
      </w:pPr>
      <w:r>
        <w:rPr>
          <w:i w:val="false"/>
          <w:iCs w:val="false"/>
          <w:sz w:val="22"/>
          <w:szCs w:val="22"/>
        </w:rPr>
      </w:r>
    </w:p>
    <w:p>
      <w:pPr>
        <w:pStyle w:val="Normal"/>
        <w:rPr>
          <w:i w:val="false"/>
          <w:iCs w:val="false"/>
          <w:color w:val="000000"/>
          <w:sz w:val="22"/>
          <w:szCs w:val="22"/>
        </w:rPr>
      </w:pPr>
      <w:r>
        <w:rPr>
          <w:i w:val="false"/>
          <w:iCs w:val="false"/>
          <w:color w:val="000000"/>
          <w:sz w:val="22"/>
          <w:szCs w:val="22"/>
        </w:rPr>
        <w:t xml:space="preserve">    ☐ </w:t>
      </w:r>
      <w:r>
        <w:rPr>
          <w:i w:val="false"/>
          <w:iCs w:val="false"/>
          <w:color w:val="000000"/>
          <w:sz w:val="22"/>
          <w:szCs w:val="22"/>
        </w:rPr>
        <w:t>Está  inscrita en el Registro Oficial de  Licitadores  y  Empresas Clasificadas del  Estado (ROLECE) con el número -------</w:t>
      </w:r>
    </w:p>
    <w:p>
      <w:pPr>
        <w:pStyle w:val="Normal"/>
        <w:ind w:firstLine="708"/>
        <w:rPr>
          <w:i w:val="false"/>
          <w:iCs w:val="false"/>
          <w:color w:val="000000"/>
          <w:sz w:val="22"/>
          <w:szCs w:val="22"/>
        </w:rPr>
      </w:pPr>
      <w:r>
        <w:rPr>
          <w:i w:val="false"/>
          <w:iCs w:val="false"/>
          <w:color w:val="000000"/>
          <w:sz w:val="22"/>
          <w:szCs w:val="22"/>
        </w:rPr>
      </w:r>
    </w:p>
    <w:p>
      <w:pPr>
        <w:pStyle w:val="Normal"/>
        <w:tabs>
          <w:tab w:val="clear" w:pos="720"/>
          <w:tab w:val="left" w:pos="567" w:leader="none"/>
        </w:tabs>
        <w:ind w:start="708"/>
        <w:jc w:val="both"/>
        <w:rPr>
          <w:i w:val="false"/>
          <w:iCs w:val="false"/>
          <w:color w:val="000000"/>
          <w:sz w:val="22"/>
          <w:szCs w:val="22"/>
        </w:rPr>
      </w:pPr>
      <w:r>
        <w:rPr>
          <w:b/>
          <w:bCs/>
          <w:i w:val="false"/>
          <w:iCs w:val="false"/>
          <w:color w:val="000000"/>
          <w:sz w:val="22"/>
          <w:szCs w:val="22"/>
        </w:rPr>
        <w:t>A-</w:t>
      </w:r>
      <w:r>
        <w:rPr>
          <w:i w:val="false"/>
          <w:iCs w:val="false"/>
          <w:color w:val="000000"/>
          <w:sz w:val="22"/>
          <w:szCs w:val="22"/>
        </w:rPr>
        <w:t xml:space="preserve"> Que los datos de la empresa que constan en el ROLECE no han sido alterados en ninguna de sus circunstancias y que se corresponden con la certificación del Registro que acompaña a esta declaración.</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r>
    </w:p>
    <w:p>
      <w:pPr>
        <w:pStyle w:val="Normal"/>
        <w:tabs>
          <w:tab w:val="clear" w:pos="720"/>
          <w:tab w:val="left" w:pos="567" w:leader="none"/>
        </w:tabs>
        <w:ind w:start="708"/>
        <w:jc w:val="both"/>
        <w:rPr>
          <w:i w:val="false"/>
          <w:iCs w:val="false"/>
          <w:color w:val="000000"/>
          <w:sz w:val="22"/>
          <w:szCs w:val="22"/>
        </w:rPr>
      </w:pPr>
      <w:r>
        <w:rPr>
          <w:b/>
          <w:bCs/>
          <w:i w:val="false"/>
          <w:iCs w:val="false"/>
          <w:color w:val="000000"/>
          <w:sz w:val="22"/>
          <w:szCs w:val="22"/>
        </w:rPr>
        <w:t>B-</w:t>
      </w:r>
      <w:r>
        <w:rPr>
          <w:i w:val="false"/>
          <w:iCs w:val="false"/>
          <w:color w:val="000000"/>
          <w:sz w:val="22"/>
          <w:szCs w:val="22"/>
        </w:rPr>
        <w:t xml:space="preserve"> Que los datos de esta empresa que constan en el Registro de Licitadores referentes a:</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t>1.</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t>2.</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t>3.</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t>4.</w:t>
      </w:r>
    </w:p>
    <w:p>
      <w:pPr>
        <w:pStyle w:val="Normal"/>
        <w:tabs>
          <w:tab w:val="clear" w:pos="720"/>
          <w:tab w:val="left" w:pos="567" w:leader="none"/>
        </w:tabs>
        <w:ind w:start="708"/>
        <w:jc w:val="both"/>
        <w:rPr>
          <w:i w:val="false"/>
          <w:iCs w:val="false"/>
          <w:color w:val="000000"/>
          <w:sz w:val="22"/>
          <w:szCs w:val="22"/>
        </w:rPr>
      </w:pPr>
      <w:r>
        <w:rPr>
          <w:i w:val="false"/>
          <w:iCs w:val="false"/>
          <w:color w:val="000000"/>
          <w:sz w:val="22"/>
          <w:szCs w:val="22"/>
        </w:rPr>
        <w:t>han sufrido alteración según se acredita mediante los documentos que se adjuntan a la presente declaración y que estos extremos ya han sido comunicados al Registro con fecha______</w:t>
      </w:r>
    </w:p>
    <w:p>
      <w:pPr>
        <w:pStyle w:val="Normal"/>
        <w:tabs>
          <w:tab w:val="clear" w:pos="720"/>
          <w:tab w:val="left" w:pos="567" w:leader="none"/>
        </w:tabs>
        <w:ind w:start="283"/>
        <w:jc w:val="both"/>
        <w:rPr>
          <w:i w:val="false"/>
          <w:iCs w:val="false"/>
          <w:color w:val="000000"/>
          <w:sz w:val="22"/>
          <w:szCs w:val="22"/>
        </w:rPr>
      </w:pPr>
      <w:r>
        <w:rPr>
          <w:i w:val="false"/>
          <w:iCs w:val="false"/>
          <w:color w:val="000000"/>
          <w:sz w:val="22"/>
          <w:szCs w:val="22"/>
        </w:rPr>
      </w:r>
    </w:p>
    <w:p>
      <w:pPr>
        <w:pStyle w:val="Normal"/>
        <w:tabs>
          <w:tab w:val="clear" w:pos="720"/>
          <w:tab w:val="left" w:pos="567" w:leader="none"/>
        </w:tabs>
        <w:ind w:start="708"/>
        <w:jc w:val="both"/>
        <w:rPr>
          <w:i w:val="false"/>
          <w:iCs w:val="false"/>
        </w:rPr>
      </w:pPr>
      <w:r>
        <w:rPr>
          <w:i w:val="false"/>
          <w:iCs w:val="false"/>
          <w:color w:val="000000"/>
          <w:sz w:val="18"/>
          <w:szCs w:val="18"/>
        </w:rPr>
        <w:t>(Las opciones A) y B) son incompatibles entre sí, señale solamente la que corresponda</w:t>
      </w:r>
      <w:r>
        <w:rPr>
          <w:i w:val="false"/>
          <w:iCs w:val="false"/>
          <w:sz w:val="18"/>
          <w:szCs w:val="18"/>
        </w:rPr>
        <w:t xml:space="preserve"> </w:t>
      </w:r>
    </w:p>
    <w:p>
      <w:pPr>
        <w:pStyle w:val="Normal"/>
        <w:tabs>
          <w:tab w:val="clear" w:pos="720"/>
          <w:tab w:val="left" w:pos="567" w:leader="none"/>
        </w:tabs>
        <w:ind w:start="283"/>
        <w:jc w:val="both"/>
        <w:rPr>
          <w:i w:val="false"/>
          <w:iCs w:val="false"/>
          <w:sz w:val="22"/>
          <w:szCs w:val="22"/>
        </w:rPr>
      </w:pPr>
      <w:r>
        <w:rPr>
          <w:i w:val="false"/>
          <w:iCs w:val="false"/>
          <w:sz w:val="22"/>
          <w:szCs w:val="22"/>
        </w:rPr>
      </w:r>
    </w:p>
    <w:p>
      <w:pPr>
        <w:pStyle w:val="Normal"/>
        <w:tabs>
          <w:tab w:val="clear" w:pos="720"/>
          <w:tab w:val="left" w:pos="567" w:leader="none"/>
        </w:tabs>
        <w:ind w:start="283"/>
        <w:jc w:val="both"/>
        <w:rPr>
          <w:i w:val="false"/>
          <w:iCs w:val="false"/>
        </w:rPr>
      </w:pPr>
      <w:r>
        <w:rPr>
          <w:i w:val="false"/>
          <w:iCs w:val="false"/>
          <w:sz w:val="22"/>
          <w:szCs w:val="22"/>
        </w:rPr>
        <w:t xml:space="preserve">☐ </w:t>
      </w:r>
      <w:r>
        <w:rPr>
          <w:i w:val="false"/>
          <w:iCs w:val="false"/>
          <w:sz w:val="22"/>
          <w:szCs w:val="22"/>
        </w:rPr>
        <w:t>No</w:t>
      </w:r>
      <w:r>
        <w:rPr>
          <w:i w:val="false"/>
          <w:iCs w:val="false"/>
          <w:color w:val="000000"/>
          <w:sz w:val="22"/>
          <w:szCs w:val="22"/>
        </w:rPr>
        <w:t xml:space="preserve"> está clasificada ni inscrita en el ROLECE</w:t>
      </w:r>
    </w:p>
    <w:p>
      <w:pPr>
        <w:pStyle w:val="Normal"/>
        <w:tabs>
          <w:tab w:val="clear" w:pos="720"/>
          <w:tab w:val="left" w:pos="567" w:leader="none"/>
        </w:tabs>
        <w:ind w:start="283"/>
        <w:jc w:val="both"/>
        <w:rPr>
          <w:i w:val="false"/>
          <w:iCs w:val="false"/>
          <w:color w:val="000000"/>
          <w:sz w:val="22"/>
          <w:szCs w:val="22"/>
        </w:rPr>
      </w:pPr>
      <w:r>
        <w:rPr>
          <w:i w:val="false"/>
          <w:iCs w:val="false"/>
          <w:color w:val="000000"/>
          <w:sz w:val="22"/>
          <w:szCs w:val="22"/>
        </w:rPr>
      </w:r>
    </w:p>
    <w:p>
      <w:pPr>
        <w:pStyle w:val="Normal"/>
        <w:ind w:hanging="284" w:start="283" w:end="425"/>
        <w:jc w:val="both"/>
        <w:rPr>
          <w:i w:val="false"/>
          <w:iCs w:val="false"/>
          <w:sz w:val="22"/>
          <w:szCs w:val="22"/>
        </w:rPr>
      </w:pPr>
      <w:r>
        <w:rPr>
          <w:i w:val="false"/>
          <w:iCs w:val="false"/>
          <w:sz w:val="22"/>
          <w:szCs w:val="22"/>
        </w:rPr>
        <w:t xml:space="preserve">5.- El firmante declara: </w:t>
      </w:r>
    </w:p>
    <w:p>
      <w:pPr>
        <w:pStyle w:val="Normal"/>
        <w:ind w:hanging="284" w:start="283" w:end="425"/>
        <w:jc w:val="both"/>
        <w:rPr>
          <w:i w:val="false"/>
          <w:iCs w:val="false"/>
          <w:sz w:val="22"/>
          <w:szCs w:val="22"/>
        </w:rPr>
      </w:pPr>
      <w:r>
        <w:rPr>
          <w:i w:val="false"/>
          <w:iCs w:val="false"/>
          <w:sz w:val="22"/>
          <w:szCs w:val="22"/>
        </w:rPr>
      </w:r>
    </w:p>
    <w:p>
      <w:pPr>
        <w:pStyle w:val="Normal"/>
        <w:ind w:hanging="285" w:start="708" w:end="425"/>
        <w:jc w:val="both"/>
        <w:rPr>
          <w:i w:val="false"/>
          <w:iCs w:val="false"/>
          <w:sz w:val="22"/>
          <w:szCs w:val="22"/>
        </w:rPr>
      </w:pPr>
      <w:r>
        <w:rPr>
          <w:i w:val="false"/>
          <w:iCs w:val="false"/>
          <w:sz w:val="22"/>
          <w:szCs w:val="22"/>
        </w:rPr>
        <w:t>a)  ostentar la representación de la sociedad que presenta la oferta.</w:t>
      </w:r>
    </w:p>
    <w:p>
      <w:pPr>
        <w:pStyle w:val="Normal"/>
        <w:ind w:hanging="285" w:start="708" w:end="425"/>
        <w:jc w:val="both"/>
        <w:rPr>
          <w:i w:val="false"/>
          <w:iCs w:val="false"/>
          <w:sz w:val="22"/>
          <w:szCs w:val="22"/>
        </w:rPr>
      </w:pPr>
      <w:r>
        <w:rPr>
          <w:i w:val="false"/>
          <w:iCs w:val="false"/>
          <w:sz w:val="22"/>
          <w:szCs w:val="22"/>
        </w:rPr>
      </w:r>
    </w:p>
    <w:p>
      <w:pPr>
        <w:pStyle w:val="Normal"/>
        <w:ind w:hanging="285" w:start="708" w:end="425"/>
        <w:jc w:val="both"/>
        <w:rPr>
          <w:i w:val="false"/>
          <w:iCs w:val="false"/>
          <w:sz w:val="22"/>
          <w:szCs w:val="22"/>
        </w:rPr>
      </w:pPr>
      <w:r>
        <w:rPr>
          <w:i w:val="false"/>
          <w:iCs w:val="false"/>
          <w:sz w:val="22"/>
          <w:szCs w:val="22"/>
        </w:rPr>
        <w:t>b) que el objeto  social de la sociedad es acorde a lo establecido en el  art. 66 de la LCSP.</w:t>
      </w:r>
    </w:p>
    <w:p>
      <w:pPr>
        <w:pStyle w:val="Normal"/>
        <w:ind w:hanging="284" w:start="283" w:end="425"/>
        <w:jc w:val="both"/>
        <w:rPr>
          <w:i w:val="false"/>
          <w:iCs w:val="false"/>
          <w:sz w:val="22"/>
          <w:szCs w:val="22"/>
        </w:rPr>
      </w:pPr>
      <w:r>
        <w:rPr>
          <w:i w:val="false"/>
          <w:iCs w:val="false"/>
          <w:sz w:val="22"/>
          <w:szCs w:val="22"/>
        </w:rPr>
      </w:r>
    </w:p>
    <w:p>
      <w:pPr>
        <w:pStyle w:val="Normal"/>
        <w:ind w:hanging="284" w:start="283" w:end="425"/>
        <w:jc w:val="both"/>
        <w:rPr>
          <w:i w:val="false"/>
          <w:iCs w:val="false"/>
          <w:color w:val="000000"/>
          <w:sz w:val="22"/>
          <w:szCs w:val="22"/>
        </w:rPr>
      </w:pPr>
      <w:r>
        <w:rPr>
          <w:i w:val="false"/>
          <w:iCs w:val="false"/>
          <w:sz w:val="22"/>
          <w:szCs w:val="22"/>
        </w:rPr>
        <w:t xml:space="preserve"> </w:t>
      </w:r>
    </w:p>
    <w:p>
      <w:pPr>
        <w:pStyle w:val="Normal"/>
        <w:jc w:val="both"/>
        <w:rPr>
          <w:i w:val="false"/>
          <w:iCs w:val="false"/>
          <w:color w:val="000000"/>
          <w:sz w:val="22"/>
          <w:szCs w:val="22"/>
        </w:rPr>
      </w:pPr>
      <w:r>
        <w:rPr>
          <w:i w:val="false"/>
          <w:iCs w:val="false"/>
          <w:color w:val="000000"/>
          <w:sz w:val="22"/>
          <w:szCs w:val="22"/>
        </w:rPr>
        <w:t>En ______________ a ___ de ____ de 20__</w:t>
      </w:r>
    </w:p>
    <w:p>
      <w:pPr>
        <w:pStyle w:val="Normal"/>
        <w:spacing w:before="0" w:after="240"/>
        <w:rPr>
          <w:i w:val="false"/>
          <w:iCs w:val="false"/>
          <w:sz w:val="22"/>
          <w:szCs w:val="22"/>
        </w:rPr>
      </w:pPr>
      <w:r>
        <w:rPr>
          <w:i w:val="false"/>
          <w:iCs w:val="false"/>
          <w:sz w:val="22"/>
          <w:szCs w:val="22"/>
        </w:rPr>
        <w:br/>
        <w:br/>
      </w:r>
      <w:r>
        <w:rPr>
          <w:i w:val="false"/>
          <w:iCs w:val="false"/>
          <w:color w:val="000000"/>
          <w:sz w:val="22"/>
          <w:szCs w:val="22"/>
        </w:rPr>
        <w:t>Fdo.:      </w:t>
      </w:r>
    </w:p>
    <w:p>
      <w:pPr>
        <w:pStyle w:val="Normal"/>
        <w:rPr>
          <w:i w:val="false"/>
          <w:iCs w:val="false"/>
          <w:sz w:val="22"/>
          <w:szCs w:val="22"/>
        </w:rPr>
      </w:pPr>
      <w:r>
        <w:rPr>
          <w:sz w:val="22"/>
          <w:szCs w:val="22"/>
        </w:rPr>
        <w:br/>
      </w:r>
    </w:p>
    <w:p>
      <w:pPr>
        <w:pStyle w:val="Normal"/>
        <w:jc w:val="both"/>
        <w:rPr>
          <w:rFonts w:ascii="Times New Roman" w:hAnsi="Times New Roman" w:cs="Times New Roman"/>
          <w:i w:val="false"/>
          <w:iCs w:val="false"/>
          <w:color w:val="000000"/>
          <w:sz w:val="22"/>
          <w:szCs w:val="22"/>
        </w:rPr>
      </w:pPr>
      <w:r>
        <w:rPr>
          <w:b/>
          <w:bCs/>
          <w:i w:val="false"/>
          <w:iCs w:val="false"/>
          <w:color w:val="000000"/>
          <w:sz w:val="22"/>
          <w:szCs w:val="22"/>
        </w:rPr>
        <w:t>ASEPEYO</w:t>
      </w:r>
    </w:p>
    <w:p>
      <w:pPr>
        <w:pStyle w:val="Normal"/>
        <w:tabs>
          <w:tab w:val="clear" w:pos="720"/>
          <w:tab w:val="left" w:pos="567" w:leader="none"/>
        </w:tabs>
        <w:jc w:val="both"/>
        <w:rPr>
          <w:rFonts w:ascii="Times New Roman" w:hAnsi="Times New Roman" w:cs="Times New Roman"/>
          <w:b/>
          <w:bCs/>
          <w:i w:val="false"/>
          <w:iCs w:val="false"/>
          <w:color w:val="000080"/>
          <w:sz w:val="22"/>
          <w:szCs w:val="22"/>
        </w:rPr>
      </w:pPr>
      <w:r>
        <w:rPr>
          <w:rFonts w:cs="Times New Roman" w:ascii="Times New Roman" w:hAnsi="Times New Roman"/>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numPr>
          <w:ilvl w:val="0"/>
          <w:numId w:val="3"/>
        </w:numPr>
        <w:pBdr/>
        <w:tabs>
          <w:tab w:val="clear" w:pos="720"/>
          <w:tab w:val="center" w:pos="567" w:leader="none"/>
          <w:tab w:val="center" w:pos="4252" w:leader="none"/>
          <w:tab w:val="right" w:pos="8504" w:leader="none"/>
        </w:tabs>
        <w:rPr>
          <w:color w:val="000000"/>
        </w:rPr>
      </w:pPr>
      <w:r>
        <w:rPr>
          <w:b/>
          <w:bCs/>
          <w:color w:val="000000"/>
          <w:sz w:val="14"/>
          <w:szCs w:val="14"/>
        </w:rPr>
        <w:t>En caso de unión temporal de empresas hay que presentar una declaración por  cada empresa que forma parte de la UTE</w:t>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ind w:hanging="2"/>
        <w:jc w:val="both"/>
        <w:rPr>
          <w:b/>
          <w:bCs/>
          <w:i w:val="false"/>
          <w:iCs w:val="false"/>
          <w:sz w:val="16"/>
          <w:szCs w:val="16"/>
        </w:rPr>
      </w:pPr>
      <w:r>
        <w:rPr>
          <w:b/>
          <w:bCs/>
          <w:i w:val="false"/>
          <w:iCs w:val="false"/>
          <w:sz w:val="16"/>
          <w:szCs w:val="16"/>
        </w:rPr>
      </w:r>
    </w:p>
    <w:p>
      <w:pPr>
        <w:pStyle w:val="Normal"/>
        <w:ind w:hanging="2"/>
        <w:jc w:val="both"/>
        <w:rPr>
          <w:b/>
          <w:bCs/>
          <w:i w:val="false"/>
          <w:iCs w:val="false"/>
          <w:sz w:val="16"/>
          <w:szCs w:val="16"/>
        </w:rPr>
      </w:pPr>
      <w:r>
        <w:rPr>
          <w:b/>
          <w:bCs/>
          <w:i w:val="false"/>
          <w:iCs w:val="false"/>
          <w:sz w:val="16"/>
          <w:szCs w:val="16"/>
        </w:rPr>
      </w:r>
    </w:p>
    <w:p>
      <w:pPr>
        <w:pStyle w:val="Normal"/>
        <w:ind w:hanging="2"/>
        <w:jc w:val="both"/>
        <w:rPr>
          <w:b/>
          <w:bCs/>
          <w:i w:val="false"/>
          <w:iCs w:val="false"/>
          <w:sz w:val="16"/>
          <w:szCs w:val="16"/>
        </w:rPr>
      </w:pPr>
      <w:r>
        <w:rPr>
          <w:b/>
          <w:bCs/>
          <w:i w:val="false"/>
          <w:iCs w:val="false"/>
          <w:sz w:val="16"/>
          <w:szCs w:val="16"/>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affffffffff5"/>
        <w:tblpPr w:vertAnchor="text" w:horzAnchor="text" w:bottomFromText="180" w:leftFromText="180" w:rightFromText="180" w:topFromText="180" w:tblpX="0" w:tblpY="0"/>
        <w:tblW w:w="9150"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9150"/>
      </w:tblGrid>
      <w:tr>
        <w:trPr>
          <w:trHeight w:val="690" w:hRule="atLeast"/>
        </w:trPr>
        <w:tc>
          <w:tcPr>
            <w:tcW w:w="9150" w:type="dxa"/>
            <w:tcBorders/>
            <w:shd w:color="auto" w:fill="00B0F0" w:val="clear"/>
          </w:tcPr>
          <w:p>
            <w:pPr>
              <w:pStyle w:val="Normal"/>
              <w:jc w:val="center"/>
              <w:rPr>
                <w:b/>
                <w:bCs/>
                <w:i w:val="false"/>
                <w:iCs w:val="false"/>
                <w:color w:val="FFFFFF"/>
                <w:sz w:val="24"/>
                <w:szCs w:val="24"/>
              </w:rPr>
            </w:pPr>
            <w:r>
              <w:rPr>
                <w:b/>
                <w:bCs/>
                <w:i w:val="false"/>
                <w:iCs w:val="false"/>
                <w:color w:val="FFFFFF"/>
                <w:sz w:val="24"/>
                <w:szCs w:val="24"/>
              </w:rPr>
              <w:t>Anexo IV.2. bis</w:t>
            </w:r>
          </w:p>
          <w:p>
            <w:pPr>
              <w:pStyle w:val="Normal"/>
              <w:jc w:val="center"/>
              <w:rPr>
                <w:b/>
                <w:bCs/>
                <w:i w:val="false"/>
                <w:iCs w:val="false"/>
                <w:color w:val="FFFFFF"/>
                <w:sz w:val="24"/>
                <w:szCs w:val="24"/>
              </w:rPr>
            </w:pPr>
            <w:r>
              <w:rPr>
                <w:b/>
                <w:bCs/>
                <w:i w:val="false"/>
                <w:iCs w:val="false"/>
                <w:color w:val="FFFFFF"/>
                <w:sz w:val="24"/>
                <w:szCs w:val="24"/>
              </w:rPr>
              <w:t>Declaración Responsable Subcontratación</w:t>
            </w:r>
          </w:p>
        </w:tc>
      </w:tr>
    </w:tbl>
    <w:p>
      <w:pPr>
        <w:pStyle w:val="Normal"/>
        <w:ind w:hanging="2"/>
        <w:jc w:val="both"/>
        <w:rPr>
          <w:b/>
          <w:bCs/>
          <w:i w:val="false"/>
          <w:iCs w:val="false"/>
          <w:sz w:val="16"/>
          <w:szCs w:val="16"/>
        </w:rPr>
      </w:pPr>
      <w:r/>
      <w:r>
        <w:rPr>
          <w:b/>
          <w:bCs/>
          <w:i w:val="false"/>
          <w:iCs w:val="false"/>
          <w:sz w:val="16"/>
          <w:szCs w:val="16"/>
        </w:rPr>
        <w:t>(Es obligatorio consignar todos los datos relativos al apoderamiento del representante de la empresa)</w:t>
      </w:r>
    </w:p>
    <w:p>
      <w:pPr>
        <w:pStyle w:val="Normal"/>
        <w:ind w:hanging="2"/>
        <w:jc w:val="both"/>
        <w:rPr/>
      </w:pPr>
      <w:r>
        <w:rPr/>
      </w:r>
    </w:p>
    <w:p>
      <w:pPr>
        <w:pStyle w:val="Normal"/>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
        <w:ind w:hanging="2"/>
        <w:jc w:val="both"/>
        <w:rPr>
          <w:i w:val="false"/>
          <w:iCs w:val="false"/>
          <w:sz w:val="22"/>
          <w:szCs w:val="22"/>
        </w:rPr>
      </w:pPr>
      <w:r>
        <w:rPr>
          <w:i w:val="false"/>
          <w:iCs w:val="false"/>
          <w:sz w:val="22"/>
          <w:szCs w:val="22"/>
        </w:rPr>
      </w:r>
    </w:p>
    <w:p>
      <w:pPr>
        <w:pStyle w:val="Normal"/>
        <w:ind w:hanging="2"/>
        <w:jc w:val="both"/>
        <w:rPr>
          <w:i w:val="false"/>
          <w:iCs w:val="false"/>
          <w:sz w:val="16"/>
          <w:szCs w:val="16"/>
        </w:rPr>
      </w:pPr>
      <w:r>
        <w:rPr>
          <w:b/>
          <w:bCs/>
          <w:i w:val="false"/>
          <w:iCs w:val="false"/>
          <w:sz w:val="22"/>
          <w:szCs w:val="22"/>
        </w:rPr>
        <w:t xml:space="preserve">DECLARA, bajo su responsabilidad </w:t>
      </w:r>
      <w:r>
        <w:rPr>
          <w:b/>
          <w:bCs/>
          <w:i w:val="false"/>
          <w:iCs w:val="false"/>
          <w:sz w:val="16"/>
          <w:szCs w:val="16"/>
        </w:rPr>
        <w:t>1</w:t>
      </w:r>
      <w:r>
        <w:rPr>
          <w:i w:val="false"/>
          <w:iCs w:val="false"/>
          <w:sz w:val="16"/>
          <w:szCs w:val="16"/>
        </w:rPr>
        <w:t xml:space="preserve"> </w:t>
      </w:r>
    </w:p>
    <w:p>
      <w:pPr>
        <w:pStyle w:val="Normal"/>
        <w:tabs>
          <w:tab w:val="clear" w:pos="720"/>
          <w:tab w:val="left" w:pos="567" w:leader="none"/>
        </w:tabs>
        <w:ind w:hanging="2"/>
        <w:jc w:val="both"/>
        <w:rPr>
          <w:i w:val="false"/>
          <w:iCs w:val="false"/>
          <w:sz w:val="22"/>
          <w:szCs w:val="22"/>
        </w:rPr>
      </w:pPr>
      <w:r>
        <w:rPr>
          <w:i w:val="false"/>
          <w:iCs w:val="false"/>
          <w:sz w:val="22"/>
          <w:szCs w:val="22"/>
        </w:rPr>
      </w:r>
    </w:p>
    <w:p>
      <w:pPr>
        <w:pStyle w:val="Normal"/>
        <w:tabs>
          <w:tab w:val="clear" w:pos="720"/>
          <w:tab w:val="left" w:pos="567" w:leader="none"/>
        </w:tabs>
        <w:ind w:hanging="2"/>
        <w:jc w:val="both"/>
        <w:rPr>
          <w:i w:val="false"/>
          <w:iCs w:val="false"/>
          <w:sz w:val="22"/>
          <w:szCs w:val="22"/>
        </w:rPr>
      </w:pPr>
      <w:r>
        <w:rPr>
          <w:i w:val="false"/>
          <w:iCs w:val="false"/>
          <w:sz w:val="22"/>
          <w:szCs w:val="22"/>
        </w:rPr>
        <w:t xml:space="preserve">1. Que la empresa que representa: </w:t>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No tiene intención de subcontratar ninguna parte del contrato. </w:t>
      </w:r>
    </w:p>
    <w:p>
      <w:pPr>
        <w:pStyle w:val="Normal"/>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Sí tiene intención de subcontratar alguna parte del contrato a terceros. </w:t>
      </w:r>
    </w:p>
    <w:p>
      <w:pPr>
        <w:pStyle w:val="Normal"/>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rPr>
          <w:i w:val="false"/>
          <w:iCs w:val="false"/>
          <w:sz w:val="22"/>
          <w:szCs w:val="22"/>
        </w:rPr>
      </w:pPr>
      <w:r>
        <w:rPr>
          <w:i w:val="false"/>
          <w:iCs w:val="false"/>
          <w:sz w:val="22"/>
          <w:szCs w:val="22"/>
        </w:rPr>
      </w:r>
    </w:p>
    <w:p>
      <w:pPr>
        <w:pStyle w:val="Normal"/>
        <w:ind w:hanging="2" w:end="425"/>
        <w:jc w:val="both"/>
        <w:rPr>
          <w:i w:val="false"/>
          <w:iCs w:val="false"/>
          <w:sz w:val="22"/>
          <w:szCs w:val="22"/>
        </w:rPr>
      </w:pPr>
      <w:r>
        <w:rPr>
          <w:i w:val="false"/>
          <w:iCs w:val="false"/>
          <w:sz w:val="22"/>
          <w:szCs w:val="22"/>
        </w:rPr>
      </w:r>
    </w:p>
    <w:p>
      <w:pPr>
        <w:pStyle w:val="Normal"/>
        <w:ind w:hanging="2" w:end="425"/>
        <w:jc w:val="both"/>
        <w:rPr>
          <w:i w:val="false"/>
          <w:iCs w:val="false"/>
          <w:sz w:val="22"/>
          <w:szCs w:val="22"/>
        </w:rPr>
      </w:pPr>
      <w:r>
        <w:rPr>
          <w:i w:val="false"/>
          <w:iCs w:val="false"/>
          <w:sz w:val="22"/>
          <w:szCs w:val="22"/>
        </w:rPr>
      </w:r>
    </w:p>
    <w:p>
      <w:pPr>
        <w:pStyle w:val="Normal"/>
        <w:ind w:hanging="2"/>
        <w:jc w:val="both"/>
        <w:rPr>
          <w:sz w:val="22"/>
          <w:szCs w:val="22"/>
        </w:rPr>
      </w:pPr>
      <w:r>
        <w:rPr>
          <w:i w:val="false"/>
          <w:iCs w:val="false"/>
          <w:sz w:val="22"/>
          <w:szCs w:val="22"/>
        </w:rPr>
        <w:t>En ______________ a ___ de ____ de 20__</w:t>
      </w:r>
    </w:p>
    <w:p>
      <w:pPr>
        <w:pStyle w:val="Normal"/>
        <w:spacing w:before="0" w:after="240"/>
        <w:ind w:hanging="2"/>
        <w:rPr>
          <w:i w:val="false"/>
          <w:iCs w:val="false"/>
          <w:sz w:val="22"/>
          <w:szCs w:val="22"/>
        </w:rPr>
      </w:pPr>
      <w:r>
        <w:rPr>
          <w:i w:val="false"/>
          <w:iCs w:val="false"/>
          <w:sz w:val="22"/>
          <w:szCs w:val="22"/>
        </w:rPr>
        <w:br/>
        <w:br/>
        <w:t>Fdo.:      </w:t>
      </w:r>
    </w:p>
    <w:p>
      <w:pPr>
        <w:pStyle w:val="Normal"/>
        <w:widowControl w:val="false"/>
        <w:ind w:hanging="2"/>
        <w:rPr>
          <w:i w:val="false"/>
          <w:iCs w:val="false"/>
          <w:color w:val="000080"/>
          <w:sz w:val="22"/>
          <w:szCs w:val="22"/>
        </w:rPr>
      </w:pPr>
      <w:r>
        <w:rPr>
          <w:i w:val="false"/>
          <w:iCs w:val="false"/>
          <w:sz w:val="22"/>
          <w:szCs w:val="22"/>
        </w:rPr>
        <w:br/>
      </w:r>
      <w:r>
        <w:rPr>
          <w:b/>
          <w:bCs/>
          <w:i w:val="false"/>
          <w:iCs w:val="false"/>
          <w:sz w:val="22"/>
          <w:szCs w:val="22"/>
        </w:rPr>
        <w:t>ASEPEYO</w:t>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p>
      <w:pPr>
        <w:pStyle w:val="Normal"/>
        <w:pBdr/>
        <w:tabs>
          <w:tab w:val="clear" w:pos="720"/>
          <w:tab w:val="center" w:pos="567" w:leader="none"/>
          <w:tab w:val="center" w:pos="4252" w:leader="none"/>
          <w:tab w:val="right" w:pos="8504" w:leader="none"/>
        </w:tabs>
        <w:rPr>
          <w:b/>
          <w:bCs/>
          <w:sz w:val="14"/>
          <w:szCs w:val="14"/>
        </w:rPr>
      </w:pPr>
      <w:r>
        <w:rPr>
          <w:b/>
          <w:bCs/>
          <w:sz w:val="14"/>
          <w:szCs w:val="14"/>
        </w:rPr>
      </w:r>
    </w:p>
    <w:tbl>
      <w:tblPr>
        <w:tblStyle w:val="affffffffff6"/>
        <w:tblW w:w="9600" w:type="dxa"/>
        <w:jc w:val="start"/>
        <w:tblInd w:w="-432" w:type="dxa"/>
        <w:tblLayout w:type="fixed"/>
        <w:tblCellMar>
          <w:top w:w="0" w:type="dxa"/>
          <w:start w:w="108" w:type="dxa"/>
          <w:bottom w:w="0" w:type="dxa"/>
          <w:end w:w="108" w:type="dxa"/>
        </w:tblCellMar>
        <w:tblLook w:val="0000" w:firstRow="0" w:noVBand="0" w:lastRow="0" w:firstColumn="0" w:lastColumn="0" w:noHBand="0"/>
      </w:tblPr>
      <w:tblGrid>
        <w:gridCol w:w="9600"/>
      </w:tblGrid>
      <w:tr>
        <w:trPr>
          <w:trHeight w:val="765" w:hRule="atLeast"/>
        </w:trPr>
        <w:tc>
          <w:tcPr>
            <w:tcW w:w="9600" w:type="dxa"/>
            <w:tcBorders/>
            <w:shd w:color="auto" w:fill="00B0F0" w:val="clear"/>
          </w:tcPr>
          <w:p>
            <w:pPr>
              <w:pStyle w:val="Normal"/>
              <w:jc w:val="center"/>
              <w:rPr>
                <w:b/>
                <w:bCs/>
                <w:i w:val="false"/>
                <w:iCs w:val="false"/>
                <w:color w:val="FFFFFF"/>
                <w:sz w:val="22"/>
                <w:szCs w:val="22"/>
              </w:rPr>
            </w:pPr>
            <w:bookmarkStart w:id="7" w:name="bookmark=id.4k668n3"/>
            <w:bookmarkEnd w:id="7"/>
            <w:r>
              <w:rPr>
                <w:b/>
                <w:bCs/>
                <w:i w:val="false"/>
                <w:iCs w:val="false"/>
                <w:color w:val="FFFFFF"/>
                <w:sz w:val="22"/>
                <w:szCs w:val="22"/>
              </w:rPr>
              <w:t>Anexo IV.3</w:t>
            </w:r>
          </w:p>
          <w:p>
            <w:pPr>
              <w:pStyle w:val="Normal"/>
              <w:jc w:val="center"/>
              <w:rPr>
                <w:b/>
                <w:bCs/>
                <w:i w:val="false"/>
                <w:iCs w:val="false"/>
                <w:color w:val="FF0000"/>
                <w:sz w:val="22"/>
                <w:szCs w:val="22"/>
              </w:rPr>
            </w:pPr>
            <w:r>
              <w:rPr>
                <w:b/>
                <w:bCs/>
                <w:i w:val="false"/>
                <w:iCs w:val="false"/>
                <w:color w:val="FFFFFF"/>
                <w:sz w:val="22"/>
                <w:szCs w:val="22"/>
              </w:rPr>
              <w:t>Modelo normalizado de presentación de la documentación de capacidad empresas licitadoras</w:t>
            </w:r>
          </w:p>
        </w:tc>
      </w:tr>
    </w:tbl>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keepNext w:val="true"/>
        <w:pBdr/>
        <w:rPr>
          <w:rFonts w:eastAsia="Arial"/>
          <w:b/>
          <w:bCs/>
          <w:i w:val="false"/>
          <w:iCs w:val="false"/>
          <w:color w:val="000000"/>
          <w:u w:val="single"/>
        </w:rPr>
      </w:pPr>
      <w:r>
        <w:rPr>
          <w:rFonts w:eastAsia="Arial"/>
          <w:b/>
          <w:bCs/>
          <w:i w:val="false"/>
          <w:iCs w:val="false"/>
          <w:color w:val="000000"/>
          <w:u w:val="single"/>
        </w:rPr>
        <w:t>Empresa Ofertante</w:t>
      </w:r>
    </w:p>
    <w:p>
      <w:pPr>
        <w:pStyle w:val="Normal"/>
        <w:rPr>
          <w:b/>
          <w:bCs/>
          <w:i w:val="false"/>
          <w:iCs w:val="false"/>
        </w:rPr>
      </w:pPr>
      <w:r>
        <w:rPr>
          <w:b/>
          <w:bCs/>
          <w:i w:val="false"/>
          <w:iCs w:val="false"/>
        </w:rPr>
      </w:r>
    </w:p>
    <w:p>
      <w:pPr>
        <w:pStyle w:val="Normal"/>
        <w:numPr>
          <w:ilvl w:val="0"/>
          <w:numId w:val="7"/>
        </w:numPr>
        <w:ind w:hanging="360" w:start="0"/>
        <w:rPr>
          <w:i w:val="false"/>
          <w:iCs w:val="false"/>
        </w:rPr>
      </w:pPr>
      <w:r>
        <w:rPr>
          <w:i w:val="false"/>
          <w:iCs w:val="false"/>
        </w:rPr>
        <w:t xml:space="preserve">Empresa única </w:t>
      </w:r>
    </w:p>
    <w:p>
      <w:pPr>
        <w:pStyle w:val="Normal"/>
        <w:rPr>
          <w:i w:val="false"/>
          <w:iCs w:val="false"/>
        </w:rPr>
      </w:pPr>
      <w:r>
        <w:rPr>
          <w:i w:val="false"/>
          <w:iCs w:val="false"/>
        </w:rPr>
      </w:r>
    </w:p>
    <w:tbl>
      <w:tblPr>
        <w:tblStyle w:val="affffffffff7"/>
        <w:tblpPr w:vertAnchor="text" w:horzAnchor="text" w:bottomFromText="180" w:leftFromText="180" w:rightFromText="180" w:topFromText="180" w:tblpX="-95" w:tblpY="0"/>
        <w:tblW w:w="9165"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9165"/>
      </w:tblGrid>
      <w:tr>
        <w:trPr/>
        <w:tc>
          <w:tcPr>
            <w:tcW w:w="9165"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tc>
      </w:tr>
    </w:tbl>
    <w:p>
      <w:pPr>
        <w:pStyle w:val="Normal"/>
        <w:rPr>
          <w:i w:val="false"/>
          <w:iCs w:val="false"/>
        </w:rPr>
      </w:pPr>
      <w:r>
        <w:rPr>
          <w:i w:val="false"/>
          <w:iCs w:val="false"/>
        </w:rPr>
      </w:r>
    </w:p>
    <w:p>
      <w:pPr>
        <w:pStyle w:val="Normal"/>
        <w:numPr>
          <w:ilvl w:val="0"/>
          <w:numId w:val="7"/>
        </w:numPr>
        <w:ind w:hanging="360" w:start="0"/>
        <w:rPr>
          <w:i w:val="false"/>
          <w:iCs w:val="false"/>
        </w:rPr>
      </w:pPr>
      <w:r>
        <w:rPr>
          <w:i w:val="false"/>
          <w:iCs w:val="false"/>
        </w:rPr>
        <w:t>Unión Temporal de Empresas U.T.E.</w:t>
      </w:r>
    </w:p>
    <w:p>
      <w:pPr>
        <w:pStyle w:val="Normal"/>
        <w:rPr>
          <w:i w:val="false"/>
          <w:iCs w:val="false"/>
        </w:rPr>
      </w:pPr>
      <w:r>
        <w:rPr>
          <w:i w:val="false"/>
          <w:iCs w:val="false"/>
        </w:rPr>
      </w:r>
    </w:p>
    <w:tbl>
      <w:tblPr>
        <w:tblStyle w:val="affffffffff8"/>
        <w:tblpPr w:vertAnchor="text" w:horzAnchor="text" w:bottomFromText="180" w:leftFromText="180" w:rightFromText="180" w:topFromText="180" w:tblpX="-20" w:tblpY="0"/>
        <w:tblW w:w="9105"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4619"/>
        <w:gridCol w:w="4486"/>
      </w:tblGrid>
      <w:tr>
        <w:trPr/>
        <w:tc>
          <w:tcPr>
            <w:tcW w:w="4619" w:type="dxa"/>
            <w:tcBorders>
              <w:top w:val="single" w:sz="4" w:space="0" w:color="000000"/>
              <w:start w:val="single" w:sz="4" w:space="0" w:color="000000"/>
              <w:bottom w:val="single" w:sz="4" w:space="0" w:color="000000"/>
              <w:end w:val="single" w:sz="4" w:space="0" w:color="000000"/>
            </w:tcBorders>
            <w:vAlign w:val="center"/>
          </w:tcPr>
          <w:p>
            <w:pPr>
              <w:pStyle w:val="Normal"/>
              <w:rPr>
                <w:i w:val="false"/>
                <w:iCs w:val="false"/>
              </w:rPr>
            </w:pPr>
            <w:r>
              <w:rPr>
                <w:i w:val="false"/>
                <w:iCs w:val="false"/>
              </w:rPr>
              <w:t>Nombre de las empresas</w:t>
            </w:r>
          </w:p>
        </w:tc>
        <w:tc>
          <w:tcPr>
            <w:tcW w:w="4486" w:type="dxa"/>
            <w:tcBorders>
              <w:top w:val="single" w:sz="4" w:space="0" w:color="000000"/>
              <w:start w:val="single" w:sz="4" w:space="0" w:color="000000"/>
              <w:bottom w:val="single" w:sz="4" w:space="0" w:color="000000"/>
              <w:end w:val="single" w:sz="4" w:space="0" w:color="000000"/>
            </w:tcBorders>
            <w:vAlign w:val="center"/>
          </w:tcPr>
          <w:p>
            <w:pPr>
              <w:pStyle w:val="Normal"/>
              <w:rPr>
                <w:i w:val="false"/>
                <w:iCs w:val="false"/>
              </w:rPr>
            </w:pPr>
            <w:r>
              <w:rPr>
                <w:i w:val="false"/>
                <w:iCs w:val="false"/>
              </w:rPr>
              <w:t xml:space="preserve"> </w:t>
            </w:r>
            <w:r>
              <w:rPr>
                <w:i w:val="false"/>
                <w:iCs w:val="false"/>
              </w:rPr>
              <w:t>% participación</w:t>
            </w:r>
          </w:p>
        </w:tc>
      </w:tr>
      <w:tr>
        <w:trPr>
          <w:trHeight w:val="681" w:hRule="atLeast"/>
        </w:trPr>
        <w:tc>
          <w:tcPr>
            <w:tcW w:w="4619"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tc>
        <w:tc>
          <w:tcPr>
            <w:tcW w:w="4486"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tc>
      </w:tr>
      <w:tr>
        <w:trPr>
          <w:trHeight w:val="681" w:hRule="atLeast"/>
        </w:trPr>
        <w:tc>
          <w:tcPr>
            <w:tcW w:w="4619"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p>
            <w:pPr>
              <w:pStyle w:val="Normal"/>
              <w:rPr>
                <w:i w:val="false"/>
                <w:iCs w:val="false"/>
              </w:rPr>
            </w:pPr>
            <w:r>
              <w:rPr>
                <w:i w:val="false"/>
                <w:iCs w:val="false"/>
              </w:rPr>
            </w:r>
          </w:p>
        </w:tc>
        <w:tc>
          <w:tcPr>
            <w:tcW w:w="4486"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tc>
      </w:tr>
      <w:tr>
        <w:trPr>
          <w:trHeight w:val="681" w:hRule="atLeast"/>
        </w:trPr>
        <w:tc>
          <w:tcPr>
            <w:tcW w:w="4619"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p>
            <w:pPr>
              <w:pStyle w:val="Normal"/>
              <w:rPr>
                <w:i w:val="false"/>
                <w:iCs w:val="false"/>
              </w:rPr>
            </w:pPr>
            <w:r>
              <w:rPr>
                <w:i w:val="false"/>
                <w:iCs w:val="false"/>
              </w:rPr>
            </w:r>
          </w:p>
        </w:tc>
        <w:tc>
          <w:tcPr>
            <w:tcW w:w="4486"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tc>
      </w:tr>
      <w:tr>
        <w:trPr>
          <w:trHeight w:val="681" w:hRule="atLeast"/>
        </w:trPr>
        <w:tc>
          <w:tcPr>
            <w:tcW w:w="4619"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tc>
        <w:tc>
          <w:tcPr>
            <w:tcW w:w="4486"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tc>
      </w:tr>
      <w:tr>
        <w:trPr>
          <w:trHeight w:val="681" w:hRule="atLeast"/>
        </w:trPr>
        <w:tc>
          <w:tcPr>
            <w:tcW w:w="4619"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p>
            <w:pPr>
              <w:pStyle w:val="Normal"/>
              <w:rPr>
                <w:i w:val="false"/>
                <w:iCs w:val="false"/>
              </w:rPr>
            </w:pPr>
            <w:r>
              <w:rPr>
                <w:i w:val="false"/>
                <w:iCs w:val="false"/>
              </w:rPr>
            </w:r>
          </w:p>
        </w:tc>
        <w:tc>
          <w:tcPr>
            <w:tcW w:w="4486" w:type="dxa"/>
            <w:tcBorders>
              <w:top w:val="single" w:sz="4" w:space="0" w:color="000000"/>
              <w:start w:val="single" w:sz="4" w:space="0" w:color="000000"/>
              <w:bottom w:val="single" w:sz="4" w:space="0" w:color="000000"/>
              <w:end w:val="single" w:sz="4" w:space="0" w:color="000000"/>
            </w:tcBorders>
          </w:tcPr>
          <w:p>
            <w:pPr>
              <w:pStyle w:val="Normal"/>
              <w:rPr>
                <w:i w:val="false"/>
                <w:iCs w:val="false"/>
              </w:rPr>
            </w:pPr>
            <w:r>
              <w:rPr>
                <w:i w:val="false"/>
                <w:iCs w:val="false"/>
              </w:rPr>
            </w:r>
          </w:p>
        </w:tc>
      </w:tr>
    </w:tbl>
    <w:p>
      <w:pPr>
        <w:pStyle w:val="Normal"/>
        <w:rPr>
          <w:i w:val="false"/>
          <w:iCs w:val="false"/>
        </w:rPr>
      </w:pPr>
      <w:r>
        <w:rPr>
          <w:i w:val="false"/>
          <w:iCs w:val="fals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FF0000"/>
          <w:sz w:val="36"/>
          <w:szCs w:val="36"/>
          <w:u w:val="single"/>
        </w:rPr>
      </w:pPr>
      <w:r>
        <w:rPr>
          <w:b/>
          <w:bCs/>
          <w:i w:val="false"/>
          <w:iCs w:val="false"/>
          <w:color w:val="FF0000"/>
          <w:sz w:val="36"/>
          <w:szCs w:val="36"/>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color w:val="0070C0"/>
          <w:u w:val="single"/>
        </w:rPr>
      </w:pPr>
      <w:r>
        <w:rPr>
          <w:b/>
          <w:bCs/>
          <w:color w:val="0070C0"/>
          <w:u w:val="single"/>
        </w:rPr>
      </w:r>
    </w:p>
    <w:tbl>
      <w:tblPr>
        <w:tblStyle w:val="affffffffff9"/>
        <w:tblW w:w="9270" w:type="dxa"/>
        <w:jc w:val="start"/>
        <w:tblInd w:w="-115" w:type="dxa"/>
        <w:tblLayout w:type="fixed"/>
        <w:tblCellMar>
          <w:top w:w="0" w:type="dxa"/>
          <w:start w:w="108" w:type="dxa"/>
          <w:bottom w:w="0" w:type="dxa"/>
          <w:end w:w="108" w:type="dxa"/>
        </w:tblCellMar>
        <w:tblLook w:val="0400" w:firstRow="0" w:noVBand="1" w:lastRow="0" w:firstColumn="0" w:lastColumn="0" w:noHBand="0"/>
      </w:tblPr>
      <w:tblGrid>
        <w:gridCol w:w="9270"/>
      </w:tblGrid>
      <w:tr>
        <w:trPr>
          <w:trHeight w:val="765" w:hRule="atLeast"/>
        </w:trPr>
        <w:tc>
          <w:tcPr>
            <w:tcW w:w="9270" w:type="dxa"/>
            <w:tcBorders/>
            <w:shd w:color="auto" w:fill="00B0F0" w:val="clear"/>
          </w:tcPr>
          <w:p>
            <w:pPr>
              <w:pStyle w:val="Normal"/>
              <w:jc w:val="center"/>
              <w:rPr>
                <w:b/>
                <w:bCs/>
                <w:i w:val="false"/>
                <w:iCs w:val="false"/>
                <w:color w:val="FFFFFF"/>
                <w:sz w:val="22"/>
                <w:szCs w:val="22"/>
              </w:rPr>
            </w:pPr>
            <w:r>
              <w:rPr>
                <w:b/>
                <w:bCs/>
                <w:i w:val="false"/>
                <w:iCs w:val="false"/>
                <w:color w:val="FFFFFF"/>
                <w:sz w:val="22"/>
                <w:szCs w:val="22"/>
              </w:rPr>
              <w:t>Anexo IV.4</w:t>
            </w:r>
          </w:p>
          <w:p>
            <w:pPr>
              <w:pStyle w:val="Normal"/>
              <w:jc w:val="center"/>
              <w:rPr>
                <w:b/>
                <w:bCs/>
                <w:i w:val="false"/>
                <w:iCs w:val="false"/>
                <w:color w:val="FFFFFF"/>
                <w:sz w:val="22"/>
                <w:szCs w:val="22"/>
              </w:rPr>
            </w:pPr>
            <w:r>
              <w:rPr>
                <w:b/>
                <w:bCs/>
                <w:i w:val="false"/>
                <w:iCs w:val="false"/>
                <w:color w:val="FFFFFF"/>
                <w:sz w:val="22"/>
                <w:szCs w:val="22"/>
              </w:rPr>
              <w:t>Declaración responsable en materia de protección de datos</w:t>
            </w:r>
          </w:p>
        </w:tc>
      </w:tr>
    </w:tbl>
    <w:p>
      <w:pPr>
        <w:pStyle w:val="Normal"/>
        <w:jc w:val="center"/>
        <w:rPr>
          <w:b/>
          <w:bCs/>
          <w:i w:val="false"/>
          <w:iCs w:val="false"/>
          <w:color w:val="0070C0"/>
          <w:u w:val="single"/>
        </w:rPr>
      </w:pPr>
      <w:r>
        <w:rPr>
          <w:b/>
          <w:bCs/>
          <w:i w:val="false"/>
          <w:iCs w:val="false"/>
          <w:color w:val="0070C0"/>
          <w:u w:val="single"/>
        </w:rPr>
      </w:r>
    </w:p>
    <w:p>
      <w:pPr>
        <w:pStyle w:val="Normal"/>
        <w:tabs>
          <w:tab w:val="clear" w:pos="720"/>
          <w:tab w:val="left" w:pos="567" w:leader="none"/>
        </w:tabs>
        <w:jc w:val="both"/>
        <w:rPr>
          <w:i w:val="false"/>
          <w:iCs w:val="false"/>
          <w:sz w:val="22"/>
          <w:szCs w:val="22"/>
        </w:rPr>
      </w:pPr>
      <w:r>
        <w:rPr>
          <w:i w:val="false"/>
          <w:iCs w:val="false"/>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tabs>
          <w:tab w:val="clear" w:pos="720"/>
          <w:tab w:val="left" w:pos="567" w:leader="none"/>
        </w:tabs>
        <w:jc w:val="both"/>
        <w:rPr>
          <w:i w:val="false"/>
          <w:iCs w:val="false"/>
          <w:sz w:val="22"/>
          <w:szCs w:val="22"/>
        </w:rPr>
      </w:pPr>
      <w:r>
        <w:rPr>
          <w:i w:val="false"/>
          <w:iCs w:val="false"/>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pPr>
        <w:pStyle w:val="Normal"/>
        <w:jc w:val="both"/>
        <w:rPr>
          <w:i w:val="false"/>
          <w:iCs w:val="false"/>
          <w:sz w:val="22"/>
          <w:szCs w:val="22"/>
          <w:u w:val="single"/>
        </w:rPr>
      </w:pPr>
      <w:r>
        <w:rPr>
          <w:i w:val="false"/>
          <w:iCs w:val="false"/>
          <w:sz w:val="22"/>
          <w:szCs w:val="22"/>
          <w:u w:val="single"/>
        </w:rPr>
      </w:r>
    </w:p>
    <w:p>
      <w:pPr>
        <w:pStyle w:val="Normal"/>
        <w:jc w:val="both"/>
        <w:rPr>
          <w:i w:val="false"/>
          <w:iCs w:val="false"/>
          <w:sz w:val="22"/>
          <w:szCs w:val="22"/>
        </w:rPr>
      </w:pPr>
      <w:r>
        <w:rPr>
          <w:i w:val="false"/>
          <w:iCs w:val="false"/>
          <w:sz w:val="22"/>
          <w:szCs w:val="22"/>
        </w:rPr>
        <w:t xml:space="preserve">2.- Que en el supuesto de resultar adjudicatario del contrato objeto de la presente licitación se compromete al estricto cumplimiento de lo dispuesto en </w:t>
      </w:r>
      <w:r>
        <w:rPr>
          <w:i w:val="false"/>
          <w:iCs w:val="false"/>
          <w:sz w:val="24"/>
          <w:szCs w:val="24"/>
        </w:rPr>
        <w:t xml:space="preserve">la </w:t>
      </w:r>
      <w:r>
        <w:rPr>
          <w:i w:val="false"/>
          <w:iCs w:val="false"/>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pPr>
        <w:pStyle w:val="Normal"/>
        <w:tabs>
          <w:tab w:val="clear" w:pos="720"/>
          <w:tab w:val="left" w:pos="567" w:leader="none"/>
        </w:tabs>
        <w:jc w:val="both"/>
        <w:rPr>
          <w:b/>
          <w:bCs/>
          <w:i w:val="false"/>
          <w:iCs w:val="false"/>
          <w:sz w:val="22"/>
          <w:szCs w:val="22"/>
        </w:rPr>
      </w:pPr>
      <w:r>
        <w:rPr>
          <w:b/>
          <w:bCs/>
          <w:i w:val="false"/>
          <w:iCs w:val="false"/>
          <w:sz w:val="22"/>
          <w:szCs w:val="22"/>
        </w:rPr>
      </w:r>
    </w:p>
    <w:p>
      <w:pPr>
        <w:pStyle w:val="Normal"/>
        <w:tabs>
          <w:tab w:val="clear" w:pos="720"/>
          <w:tab w:val="left" w:pos="567" w:leader="none"/>
        </w:tabs>
        <w:jc w:val="both"/>
        <w:rPr>
          <w:i w:val="false"/>
          <w:iCs w:val="false"/>
          <w:sz w:val="22"/>
          <w:szCs w:val="22"/>
        </w:rPr>
      </w:pPr>
      <w:r>
        <w:rPr>
          <w:i w:val="false"/>
          <w:iCs w:val="false"/>
          <w:sz w:val="22"/>
          <w:szCs w:val="22"/>
        </w:rPr>
        <w:t xml:space="preserve">3.- Que de conformidad con lo previsto en el artículo 122.2  e) de la Ley 9/2017, de 8 de noviembre, de contratos del sector público: </w:t>
      </w:r>
    </w:p>
    <w:p>
      <w:pPr>
        <w:pStyle w:val="Normal"/>
        <w:tabs>
          <w:tab w:val="clear" w:pos="720"/>
          <w:tab w:val="left" w:pos="567" w:leader="none"/>
        </w:tabs>
        <w:jc w:val="both"/>
        <w:rPr>
          <w:i w:val="false"/>
          <w:iCs w:val="false"/>
          <w:sz w:val="22"/>
          <w:szCs w:val="22"/>
        </w:rPr>
      </w:pPr>
      <w:r>
        <w:rPr>
          <w:i w:val="false"/>
          <w:iCs w:val="false"/>
          <w:sz w:val="22"/>
          <w:szCs w:val="22"/>
        </w:rPr>
      </w:r>
    </w:p>
    <w:p>
      <w:pPr>
        <w:pStyle w:val="Normal"/>
        <w:tabs>
          <w:tab w:val="clear" w:pos="720"/>
          <w:tab w:val="left" w:pos="567" w:leader="none"/>
        </w:tabs>
        <w:jc w:val="both"/>
        <w:rPr>
          <w:i w:val="false"/>
          <w:iCs w:val="false"/>
          <w:sz w:val="22"/>
          <w:szCs w:val="22"/>
        </w:rPr>
      </w:pPr>
      <w:r>
        <w:rPr>
          <w:i w:val="false"/>
          <w:iCs w:val="false"/>
          <w:sz w:val="22"/>
          <w:szCs w:val="22"/>
        </w:rPr>
        <w:tab/>
        <w:t xml:space="preserve">☐ Que  sus servidores están ubicados en xxxxxxx (indicar país) y los servicios asociados a los mismos se prestarán desde xxxxxx (indicar país), siendo ambos estados de la Unión Europea. </w:t>
      </w:r>
    </w:p>
    <w:p>
      <w:pPr>
        <w:pStyle w:val="Normal"/>
        <w:tabs>
          <w:tab w:val="clear" w:pos="720"/>
          <w:tab w:val="left" w:pos="567" w:leader="none"/>
        </w:tabs>
        <w:jc w:val="both"/>
        <w:rPr>
          <w:i w:val="false"/>
          <w:iCs w:val="false"/>
          <w:sz w:val="22"/>
          <w:szCs w:val="22"/>
        </w:rPr>
      </w:pPr>
      <w:r>
        <w:rPr>
          <w:i w:val="false"/>
          <w:iCs w:val="false"/>
          <w:sz w:val="22"/>
          <w:szCs w:val="22"/>
        </w:rPr>
      </w:r>
    </w:p>
    <w:p>
      <w:pPr>
        <w:pStyle w:val="Normal"/>
        <w:tabs>
          <w:tab w:val="clear" w:pos="720"/>
          <w:tab w:val="left" w:pos="567" w:leader="none"/>
        </w:tabs>
        <w:jc w:val="both"/>
        <w:rPr>
          <w:i w:val="false"/>
          <w:iCs w:val="false"/>
          <w:sz w:val="22"/>
          <w:szCs w:val="22"/>
        </w:rPr>
      </w:pPr>
      <w:r>
        <w:rPr>
          <w:i w:val="false"/>
          <w:iCs w:val="false"/>
          <w:sz w:val="22"/>
          <w:szCs w:val="22"/>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pPr>
        <w:pStyle w:val="Normal"/>
        <w:tabs>
          <w:tab w:val="clear" w:pos="720"/>
          <w:tab w:val="left" w:pos="567" w:leader="none"/>
        </w:tabs>
        <w:jc w:val="both"/>
        <w:rPr>
          <w:i w:val="false"/>
          <w:iCs w:val="false"/>
          <w:sz w:val="22"/>
          <w:szCs w:val="22"/>
        </w:rPr>
      </w:pPr>
      <w:r>
        <w:rPr>
          <w:i w:val="false"/>
          <w:iCs w:val="false"/>
          <w:sz w:val="22"/>
          <w:szCs w:val="22"/>
        </w:rPr>
      </w:r>
    </w:p>
    <w:p>
      <w:pPr>
        <w:pStyle w:val="Normal"/>
        <w:tabs>
          <w:tab w:val="clear" w:pos="720"/>
          <w:tab w:val="left" w:pos="567" w:leader="none"/>
        </w:tabs>
        <w:jc w:val="both"/>
        <w:rPr>
          <w:i w:val="false"/>
          <w:iCs w:val="false"/>
          <w:sz w:val="22"/>
          <w:szCs w:val="22"/>
        </w:rPr>
      </w:pPr>
      <w:r>
        <w:rPr>
          <w:i w:val="false"/>
          <w:iCs w:val="false"/>
          <w:sz w:val="22"/>
          <w:szCs w:val="22"/>
        </w:rPr>
        <w:tab/>
        <w:t>☐  Que tiene previsto subcontratar los servidores y/o servicios asociados a los mismos con los siguientes subcontratistas</w:t>
      </w:r>
      <w:bookmarkStart w:id="8" w:name="_GoBack"/>
      <w:bookmarkEnd w:id="8"/>
      <w:r>
        <w:rPr>
          <w:i w:val="false"/>
          <w:iCs w:val="false"/>
          <w:sz w:val="22"/>
          <w:szCs w:val="22"/>
        </w:rPr>
        <w:t xml:space="preserve">: </w:t>
      </w:r>
    </w:p>
    <w:p>
      <w:pPr>
        <w:pStyle w:val="Normal"/>
        <w:tabs>
          <w:tab w:val="clear" w:pos="720"/>
          <w:tab w:val="left" w:pos="567" w:leader="none"/>
        </w:tabs>
        <w:jc w:val="both"/>
        <w:rPr>
          <w:i w:val="false"/>
          <w:iCs w:val="false"/>
          <w:sz w:val="22"/>
          <w:szCs w:val="22"/>
        </w:rPr>
      </w:pPr>
      <w:r>
        <w:rPr>
          <w:i w:val="false"/>
          <w:iCs w:val="false"/>
          <w:sz w:val="22"/>
          <w:szCs w:val="22"/>
        </w:rPr>
      </w:r>
    </w:p>
    <w:p>
      <w:pPr>
        <w:pStyle w:val="Normal"/>
        <w:tabs>
          <w:tab w:val="clear" w:pos="720"/>
          <w:tab w:val="left" w:pos="567" w:leader="none"/>
        </w:tabs>
        <w:jc w:val="both"/>
        <w:rPr>
          <w:i w:val="false"/>
          <w:iCs w:val="false"/>
          <w:sz w:val="22"/>
          <w:szCs w:val="22"/>
        </w:rPr>
      </w:pPr>
      <w:r>
        <w:rPr>
          <w:i w:val="false"/>
          <w:iCs w:val="false"/>
          <w:sz w:val="22"/>
          <w:szCs w:val="22"/>
        </w:rPr>
        <w:tab/>
        <w:tab/>
        <w:tab/>
        <w:tab/>
        <w:t xml:space="preserve">Xxxxxxxxx (indicar nombre o perfil profesional). </w:t>
      </w:r>
    </w:p>
    <w:p>
      <w:pPr>
        <w:pStyle w:val="Normal"/>
        <w:tabs>
          <w:tab w:val="clear" w:pos="720"/>
          <w:tab w:val="left" w:pos="567" w:leader="none"/>
        </w:tabs>
        <w:jc w:val="both"/>
        <w:rPr>
          <w:i w:val="false"/>
          <w:iCs w:val="false"/>
          <w:sz w:val="22"/>
          <w:szCs w:val="22"/>
        </w:rPr>
      </w:pPr>
      <w:r>
        <w:rPr>
          <w:i w:val="false"/>
          <w:iCs w:val="false"/>
          <w:sz w:val="22"/>
          <w:szCs w:val="22"/>
        </w:rPr>
      </w:r>
    </w:p>
    <w:p>
      <w:pPr>
        <w:pStyle w:val="Normal"/>
        <w:tabs>
          <w:tab w:val="clear" w:pos="720"/>
          <w:tab w:val="left" w:pos="567" w:leader="none"/>
        </w:tabs>
        <w:jc w:val="both"/>
        <w:rPr>
          <w:b/>
          <w:bCs/>
          <w:i w:val="false"/>
          <w:iCs w:val="false"/>
          <w:color w:val="000080"/>
          <w:sz w:val="22"/>
          <w:szCs w:val="22"/>
        </w:rPr>
      </w:pPr>
      <w:r>
        <w:rPr>
          <w:i w:val="false"/>
          <w:iCs w:val="false"/>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t>ÍNDICE DE DOCUMENTOS APORTADOS</w:t>
      </w:r>
    </w:p>
    <w:p>
      <w:pPr>
        <w:pStyle w:val="Normal"/>
        <w:jc w:val="center"/>
        <w:rPr>
          <w:b/>
          <w:bCs/>
          <w:i w:val="false"/>
          <w:iCs w:val="false"/>
          <w:color w:val="0070C0"/>
          <w:u w:val="single"/>
        </w:rPr>
      </w:pPr>
      <w:r>
        <w:rPr>
          <w:b/>
          <w:bCs/>
          <w:i w:val="false"/>
          <w:iCs w:val="false"/>
          <w:color w:val="0070C0"/>
          <w:u w:val="single"/>
        </w:rPr>
      </w:r>
    </w:p>
    <w:p>
      <w:pPr>
        <w:pStyle w:val="Normal"/>
        <w:jc w:val="center"/>
        <w:rPr>
          <w:b/>
          <w:bCs/>
          <w:i w:val="false"/>
          <w:iCs w:val="false"/>
          <w:color w:val="0070C0"/>
          <w:u w:val="single"/>
        </w:rPr>
      </w:pPr>
      <w:r>
        <w:rPr>
          <w:b/>
          <w:bCs/>
          <w:i w:val="false"/>
          <w:iCs w:val="false"/>
          <w:color w:val="0070C0"/>
          <w:u w:val="single"/>
        </w:rPr>
      </w:r>
    </w:p>
    <w:p>
      <w:pPr>
        <w:pStyle w:val="Normal"/>
        <w:ind w:hanging="2"/>
        <w:jc w:val="center"/>
        <w:rPr>
          <w:b/>
          <w:bCs/>
          <w:i w:val="false"/>
          <w:iCs w:val="false"/>
          <w:sz w:val="22"/>
          <w:szCs w:val="22"/>
        </w:rPr>
      </w:pPr>
      <w:r>
        <w:rPr>
          <w:b/>
          <w:bCs/>
          <w:i w:val="false"/>
          <w:iCs w:val="false"/>
          <w:color w:val="0070C0"/>
          <w:u w:val="single"/>
        </w:rPr>
        <w:t>A entregar por las empresas licitadoras</w:t>
      </w:r>
    </w:p>
    <w:p>
      <w:pPr>
        <w:pStyle w:val="Normal"/>
        <w:ind w:hanging="2"/>
        <w:jc w:val="both"/>
        <w:rPr>
          <w:b/>
          <w:bCs/>
          <w:i w:val="false"/>
          <w:iCs w:val="false"/>
          <w:sz w:val="22"/>
          <w:szCs w:val="22"/>
        </w:rPr>
      </w:pPr>
      <w:r>
        <w:rPr>
          <w:b/>
          <w:bCs/>
          <w:i w:val="false"/>
          <w:iCs w:val="false"/>
          <w:sz w:val="22"/>
          <w:szCs w:val="22"/>
        </w:rPr>
      </w:r>
    </w:p>
    <w:p>
      <w:pPr>
        <w:pStyle w:val="Normal"/>
        <w:ind w:hanging="2"/>
        <w:jc w:val="both"/>
        <w:rPr>
          <w:b/>
          <w:bCs/>
          <w:i w:val="false"/>
          <w:iCs w:val="false"/>
        </w:rPr>
      </w:pPr>
      <w:r>
        <w:rPr>
          <w:b/>
          <w:bCs/>
          <w:i w:val="false"/>
          <w:iCs w:val="false"/>
        </w:rPr>
        <w:t>Las empresas licitadoras deberán presentar la siguiente documentación administrativa en el SOBRE ÚNICO:</w:t>
      </w:r>
    </w:p>
    <w:p>
      <w:pPr>
        <w:pStyle w:val="Normal"/>
        <w:ind w:hanging="2"/>
        <w:jc w:val="both"/>
        <w:rPr>
          <w:b/>
          <w:bCs/>
          <w:i w:val="false"/>
          <w:iCs w:val="false"/>
        </w:rPr>
      </w:pPr>
      <w:r>
        <w:rPr>
          <w:b/>
          <w:bCs/>
          <w:i w:val="false"/>
          <w:iCs w:val="false"/>
        </w:rPr>
      </w:r>
    </w:p>
    <w:p>
      <w:pPr>
        <w:pStyle w:val="Normal"/>
        <w:numPr>
          <w:ilvl w:val="0"/>
          <w:numId w:val="8"/>
        </w:numPr>
        <w:jc w:val="both"/>
        <w:rPr>
          <w:b/>
          <w:bCs/>
          <w:i w:val="false"/>
          <w:iCs w:val="false"/>
        </w:rPr>
      </w:pPr>
      <w:r>
        <w:rPr>
          <w:b/>
          <w:bCs/>
          <w:i w:val="false"/>
          <w:iCs w:val="false"/>
        </w:rPr>
        <w:t xml:space="preserve">El formulario normalizado del Documento Europeo Único de Contratación (DEUC), debidamente cumplimentado. </w:t>
      </w:r>
    </w:p>
    <w:p>
      <w:pPr>
        <w:pStyle w:val="Normal"/>
        <w:ind w:start="720"/>
        <w:jc w:val="both"/>
        <w:rPr>
          <w:b/>
          <w:bCs/>
          <w:i w:val="false"/>
          <w:iCs w:val="false"/>
        </w:rPr>
      </w:pPr>
      <w:r>
        <w:rPr>
          <w:b/>
          <w:bCs/>
          <w:i w:val="false"/>
          <w:iCs w:val="false"/>
        </w:rPr>
      </w:r>
    </w:p>
    <w:p>
      <w:pPr>
        <w:pStyle w:val="Normal"/>
        <w:numPr>
          <w:ilvl w:val="0"/>
          <w:numId w:val="8"/>
        </w:numPr>
        <w:jc w:val="both"/>
        <w:rPr>
          <w:b/>
          <w:bCs/>
          <w:i w:val="false"/>
          <w:iCs w:val="false"/>
        </w:rPr>
      </w:pPr>
      <w:r>
        <w:rPr>
          <w:b/>
          <w:bCs/>
          <w:i w:val="false"/>
          <w:iCs w:val="false"/>
        </w:rPr>
        <w:t>Datos identificativos de la empresa participante en la licitación (Anexo II)</w:t>
      </w:r>
    </w:p>
    <w:p>
      <w:pPr>
        <w:pStyle w:val="Normal"/>
        <w:ind w:hanging="2"/>
        <w:jc w:val="both"/>
        <w:rPr>
          <w:b/>
          <w:bCs/>
          <w:i w:val="false"/>
          <w:iCs w:val="false"/>
        </w:rPr>
      </w:pPr>
      <w:r>
        <w:rPr>
          <w:b/>
          <w:bCs/>
          <w:i w:val="false"/>
          <w:iCs w:val="false"/>
        </w:rPr>
      </w:r>
    </w:p>
    <w:p>
      <w:pPr>
        <w:pStyle w:val="Normal"/>
        <w:ind w:hanging="2"/>
        <w:jc w:val="both"/>
        <w:rPr>
          <w:b/>
          <w:bCs/>
          <w:i w:val="false"/>
          <w:iCs w:val="false"/>
        </w:rPr>
      </w:pPr>
      <w:r>
        <w:rPr>
          <w:b/>
          <w:bCs/>
          <w:i w:val="false"/>
          <w:iCs w:val="false"/>
        </w:rPr>
      </w:r>
    </w:p>
    <w:p>
      <w:pPr>
        <w:pStyle w:val="Normal"/>
        <w:ind w:hanging="2"/>
        <w:jc w:val="center"/>
        <w:rPr>
          <w:b/>
          <w:bCs/>
          <w:i w:val="false"/>
          <w:iCs w:val="false"/>
          <w:color w:val="0070C0"/>
          <w:u w:val="single"/>
        </w:rPr>
      </w:pPr>
      <w:r>
        <w:rPr>
          <w:b/>
          <w:bCs/>
          <w:i w:val="false"/>
          <w:iCs w:val="false"/>
          <w:color w:val="0070C0"/>
          <w:u w:val="single"/>
        </w:rPr>
        <w:t>Únicamente a entregar por la empresa propuesta como adjudicataria</w:t>
      </w:r>
    </w:p>
    <w:p>
      <w:pPr>
        <w:pStyle w:val="Normal"/>
        <w:jc w:val="center"/>
        <w:rPr>
          <w:b/>
          <w:bCs/>
          <w:i w:val="false"/>
          <w:iCs w:val="false"/>
          <w:sz w:val="22"/>
          <w:szCs w:val="22"/>
        </w:rPr>
      </w:pPr>
      <w:r>
        <w:rPr>
          <w:b/>
          <w:bCs/>
          <w:i w:val="false"/>
          <w:iCs w:val="false"/>
          <w:sz w:val="22"/>
          <w:szCs w:val="22"/>
        </w:rPr>
      </w:r>
    </w:p>
    <w:p>
      <w:pPr>
        <w:pStyle w:val="Normal"/>
        <w:jc w:val="center"/>
        <w:rPr>
          <w:b/>
          <w:bCs/>
          <w:i w:val="false"/>
          <w:iCs w:val="false"/>
          <w:sz w:val="22"/>
          <w:szCs w:val="22"/>
        </w:rPr>
      </w:pPr>
      <w:r>
        <w:rPr>
          <w:b/>
          <w:bCs/>
          <w:i w:val="false"/>
          <w:iCs w:val="false"/>
          <w:sz w:val="22"/>
          <w:szCs w:val="22"/>
        </w:rPr>
      </w:r>
    </w:p>
    <w:p>
      <w:pPr>
        <w:pStyle w:val="Normal"/>
        <w:jc w:val="both"/>
        <w:rPr>
          <w:i w:val="false"/>
          <w:iCs w:val="false"/>
        </w:rPr>
      </w:pPr>
      <w:r>
        <w:rPr>
          <w:b/>
          <w:bCs/>
          <w:i w:val="false"/>
          <w:iCs w:val="false"/>
        </w:rPr>
        <w:t>Solamente las empresas en las que recaiga la propuesta de adjudicación deberán presentar:</w:t>
      </w:r>
      <w:r>
        <w:rPr>
          <w:i w:val="false"/>
          <w:iCs w:val="false"/>
        </w:rPr>
        <w:t xml:space="preserve"> </w:t>
      </w:r>
    </w:p>
    <w:p>
      <w:pPr>
        <w:pStyle w:val="Normal"/>
        <w:jc w:val="both"/>
        <w:rPr>
          <w:b/>
          <w:bCs/>
          <w:i w:val="false"/>
          <w:iCs w:val="false"/>
        </w:rPr>
      </w:pPr>
      <w:r>
        <w:rPr>
          <w:b/>
          <w:bCs/>
          <w:i w:val="false"/>
          <w:iCs w:val="false"/>
        </w:rPr>
      </w:r>
    </w:p>
    <w:p>
      <w:pPr>
        <w:pStyle w:val="Normal"/>
        <w:ind w:start="708"/>
        <w:rPr>
          <w:i w:val="false"/>
          <w:iCs w:val="false"/>
          <w:color w:val="FF0000"/>
        </w:rPr>
      </w:pPr>
      <w:r>
        <w:rPr>
          <w:i w:val="false"/>
          <w:iCs w:val="false"/>
          <w:color w:val="FF0000"/>
        </w:rPr>
      </w:r>
    </w:p>
    <w:p>
      <w:pPr>
        <w:pStyle w:val="Normal"/>
        <w:numPr>
          <w:ilvl w:val="0"/>
          <w:numId w:val="9"/>
        </w:numPr>
        <w:jc w:val="both"/>
        <w:rPr>
          <w:b/>
          <w:bCs/>
          <w:i w:val="false"/>
          <w:iCs w:val="false"/>
        </w:rPr>
      </w:pPr>
      <w:r>
        <w:rPr>
          <w:b/>
          <w:bCs/>
          <w:i w:val="false"/>
          <w:iCs w:val="false"/>
        </w:rPr>
        <w:t xml:space="preserve">Datos identificativos de la empresa participante en la licitación (Anexo II) </w:t>
      </w:r>
    </w:p>
    <w:p>
      <w:pPr>
        <w:pStyle w:val="Normal"/>
        <w:pBdr/>
        <w:tabs>
          <w:tab w:val="clear" w:pos="720"/>
          <w:tab w:val="left" w:pos="567" w:leader="none"/>
        </w:tabs>
        <w:jc w:val="both"/>
        <w:rPr>
          <w:b/>
          <w:bCs/>
          <w:color w:val="000000"/>
        </w:rPr>
      </w:pPr>
      <w:r>
        <w:rPr>
          <w:b/>
          <w:bCs/>
          <w:color w:val="000000"/>
        </w:rPr>
      </w:r>
    </w:p>
    <w:p>
      <w:pPr>
        <w:pStyle w:val="Normal"/>
        <w:keepNext w:val="true"/>
        <w:numPr>
          <w:ilvl w:val="0"/>
          <w:numId w:val="9"/>
        </w:numPr>
        <w:pBdr/>
        <w:rPr>
          <w:b/>
          <w:bCs/>
          <w:i w:val="false"/>
          <w:iCs w:val="false"/>
          <w:color w:val="000000"/>
        </w:rPr>
      </w:pPr>
      <w:r>
        <w:rPr>
          <w:b/>
          <w:bCs/>
          <w:i w:val="false"/>
          <w:iCs w:val="false"/>
          <w:color w:val="000000"/>
        </w:rPr>
        <w:t xml:space="preserve">Declaración Responsable General de la empresa adjudicataria (anexo IV.2)  </w:t>
      </w:r>
    </w:p>
    <w:p>
      <w:pPr>
        <w:pStyle w:val="Normal"/>
        <w:pBdr/>
        <w:spacing w:lineRule="auto" w:line="276" w:before="0" w:after="200"/>
        <w:ind w:start="720"/>
        <w:rPr>
          <w:rFonts w:ascii="Calibri" w:hAnsi="Calibri" w:eastAsia="Calibri" w:cs="Calibri"/>
          <w:b/>
          <w:bCs/>
          <w:color w:val="000000"/>
          <w:sz w:val="22"/>
          <w:szCs w:val="22"/>
        </w:rPr>
      </w:pPr>
      <w:r>
        <w:rPr>
          <w:rFonts w:eastAsia="Calibri" w:cs="Calibri" w:ascii="Calibri" w:hAnsi="Calibri"/>
          <w:b/>
          <w:bCs/>
          <w:color w:val="000000"/>
          <w:sz w:val="22"/>
          <w:szCs w:val="22"/>
        </w:rPr>
      </w:r>
    </w:p>
    <w:p>
      <w:pPr>
        <w:pStyle w:val="Normal"/>
        <w:keepNext w:val="true"/>
        <w:numPr>
          <w:ilvl w:val="0"/>
          <w:numId w:val="9"/>
        </w:numPr>
        <w:pBdr/>
        <w:rPr>
          <w:i w:val="false"/>
          <w:iCs w:val="false"/>
        </w:rPr>
      </w:pPr>
      <w:r>
        <w:rPr>
          <w:b/>
          <w:bCs/>
          <w:i w:val="false"/>
          <w:iCs w:val="false"/>
        </w:rPr>
        <w:t>Documentación justificativa de hallarse al corriente en el cumplimiento de sus obligaciones tributarias y con la Seguridad Social</w:t>
      </w:r>
    </w:p>
    <w:p>
      <w:pPr>
        <w:pStyle w:val="Normal"/>
        <w:pBdr/>
        <w:spacing w:lineRule="auto" w:line="276" w:before="0" w:after="200"/>
        <w:ind w:start="720"/>
        <w:rPr>
          <w:rFonts w:ascii="Calibri" w:hAnsi="Calibri" w:eastAsia="Calibri" w:cs="Calibri"/>
          <w:color w:val="000000"/>
          <w:sz w:val="22"/>
          <w:szCs w:val="22"/>
        </w:rPr>
      </w:pPr>
      <w:r>
        <w:rPr>
          <w:rFonts w:eastAsia="Calibri" w:cs="Calibri" w:ascii="Calibri" w:hAnsi="Calibri"/>
          <w:color w:val="000000"/>
          <w:sz w:val="22"/>
          <w:szCs w:val="22"/>
        </w:rPr>
      </w:r>
    </w:p>
    <w:p>
      <w:pPr>
        <w:pStyle w:val="Normal"/>
        <w:keepNext w:val="true"/>
        <w:numPr>
          <w:ilvl w:val="0"/>
          <w:numId w:val="9"/>
        </w:numPr>
        <w:pBdr/>
        <w:rPr>
          <w:i w:val="false"/>
          <w:iCs w:val="false"/>
        </w:rPr>
      </w:pPr>
      <w:r>
        <w:rPr>
          <w:b/>
          <w:bCs/>
          <w:i w:val="false"/>
          <w:iCs w:val="false"/>
          <w:color w:val="000000"/>
        </w:rPr>
        <w:t xml:space="preserve">Certificado de la titularidad bancaria de la cuenta que </w:t>
      </w:r>
      <w:r>
        <w:rPr>
          <w:b/>
          <w:bCs/>
          <w:i w:val="false"/>
          <w:iCs w:val="false"/>
        </w:rPr>
        <w:t>designe</w:t>
      </w:r>
      <w:r>
        <w:rPr>
          <w:b/>
          <w:bCs/>
          <w:i w:val="false"/>
          <w:iCs w:val="false"/>
          <w:color w:val="000000"/>
        </w:rPr>
        <w:t xml:space="preserve"> la empresa para el pago de los servicios objeto del contrato</w:t>
      </w:r>
    </w:p>
    <w:p>
      <w:pPr>
        <w:pStyle w:val="Normal"/>
        <w:keepNext w:val="true"/>
        <w:pBdr/>
        <w:rPr>
          <w:b/>
          <w:bCs/>
          <w:i w:val="false"/>
          <w:iCs w:val="false"/>
        </w:rPr>
      </w:pPr>
      <w:r>
        <w:rPr>
          <w:b/>
          <w:bCs/>
          <w:i w:val="false"/>
          <w:iCs w:val="false"/>
        </w:rPr>
      </w:r>
    </w:p>
    <w:p>
      <w:pPr>
        <w:pStyle w:val="Normal"/>
        <w:keepNext w:val="true"/>
        <w:numPr>
          <w:ilvl w:val="0"/>
          <w:numId w:val="9"/>
        </w:numPr>
        <w:pBdr/>
        <w:rPr>
          <w:i w:val="false"/>
          <w:iCs w:val="false"/>
        </w:rPr>
      </w:pPr>
      <w:r>
        <w:rPr>
          <w:b/>
          <w:bCs/>
          <w:i w:val="false"/>
          <w:iCs w:val="false"/>
        </w:rPr>
        <w:t>Declaración responsable en materia de protección de datos (Anexo IV.4)</w:t>
      </w:r>
    </w:p>
    <w:p>
      <w:pPr>
        <w:pStyle w:val="Normal"/>
        <w:keepNext w:val="true"/>
        <w:pBdr/>
        <w:ind w:start="720"/>
        <w:rPr>
          <w:b/>
          <w:bCs/>
          <w:i w:val="false"/>
          <w:iCs w:val="false"/>
        </w:rPr>
      </w:pPr>
      <w:r>
        <w:rPr>
          <w:b/>
          <w:bCs/>
          <w:i w:val="false"/>
          <w:iCs w:val="false"/>
        </w:rPr>
      </w:r>
    </w:p>
    <w:p>
      <w:pPr>
        <w:pStyle w:val="Normal"/>
        <w:keepNext w:val="true"/>
        <w:numPr>
          <w:ilvl w:val="0"/>
          <w:numId w:val="9"/>
        </w:numPr>
        <w:pBdr/>
        <w:rPr>
          <w:i w:val="false"/>
          <w:iCs w:val="false"/>
        </w:rPr>
      </w:pPr>
      <w:r>
        <w:rPr>
          <w:b/>
          <w:bCs/>
          <w:i w:val="false"/>
          <w:iCs w:val="false"/>
        </w:rPr>
        <w:t xml:space="preserve">Declaración responsable debidamente cumplimentada y firmada, </w:t>
      </w:r>
      <w:r>
        <w:rPr>
          <w:b/>
          <w:bCs/>
          <w:i w:val="false"/>
          <w:iCs w:val="false"/>
          <w:u w:val="single"/>
        </w:rPr>
        <w:t>en caso de subcontratación</w:t>
      </w:r>
      <w:r>
        <w:rPr>
          <w:b/>
          <w:bCs/>
          <w:i w:val="false"/>
          <w:iCs w:val="false"/>
        </w:rPr>
        <w:t xml:space="preserve"> (Anexo IV.2 bis)</w:t>
      </w:r>
    </w:p>
    <w:p>
      <w:pPr>
        <w:pStyle w:val="Normal"/>
        <w:keepNext w:val="true"/>
        <w:pBdr/>
        <w:ind w:start="720"/>
        <w:rPr>
          <w:b/>
          <w:bCs/>
          <w:i w:val="false"/>
          <w:iCs w:val="false"/>
        </w:rPr>
      </w:pPr>
      <w:r>
        <w:rPr>
          <w:b/>
          <w:bCs/>
          <w:i w:val="false"/>
          <w:iCs w:val="false"/>
        </w:rPr>
      </w:r>
    </w:p>
    <w:p>
      <w:pPr>
        <w:pStyle w:val="Normal"/>
        <w:keepNext w:val="true"/>
        <w:numPr>
          <w:ilvl w:val="0"/>
          <w:numId w:val="9"/>
        </w:numPr>
        <w:pBdr/>
        <w:rPr>
          <w:i w:val="false"/>
          <w:iCs w:val="false"/>
        </w:rPr>
      </w:pPr>
      <w:r>
        <w:rPr>
          <w:b/>
          <w:bCs/>
          <w:i w:val="false"/>
          <w:iCs w:val="false"/>
        </w:rPr>
        <w:t xml:space="preserve">Certificado de inscripción  en el registro laboral correspondiente al plan para la igualdad entre hombres y mujeres para empresas de más de 50 trabajadores. </w:t>
      </w:r>
    </w:p>
    <w:p>
      <w:pPr>
        <w:pStyle w:val="Normal"/>
        <w:rPr>
          <w:i w:val="false"/>
          <w:iCs w:val="false"/>
        </w:rPr>
      </w:pPr>
      <w:r>
        <w:rPr>
          <w:i w:val="false"/>
          <w:iCs w:val="false"/>
        </w:rPr>
      </w:r>
    </w:p>
    <w:p>
      <w:pPr>
        <w:pStyle w:val="Normal"/>
        <w:keepNext w:val="true"/>
        <w:pBdr/>
        <w:ind w:start="720"/>
        <w:rPr>
          <w:b/>
          <w:bCs/>
          <w:color w:val="000000"/>
        </w:rPr>
      </w:pPr>
      <w:r>
        <w:rPr>
          <w:b/>
          <w:bCs/>
          <w:color w:val="000000"/>
        </w:rPr>
      </w:r>
    </w:p>
    <w:p>
      <w:pPr>
        <w:pStyle w:val="Normal"/>
        <w:pBdr/>
        <w:tabs>
          <w:tab w:val="clear" w:pos="720"/>
          <w:tab w:val="left" w:pos="0" w:leader="none"/>
        </w:tabs>
        <w:ind w:start="142" w:end="-569"/>
        <w:jc w:val="both"/>
        <w:rPr>
          <w:b/>
          <w:bCs/>
          <w:i w:val="false"/>
          <w:iCs w:val="false"/>
          <w:color w:val="0070C0"/>
          <w:sz w:val="22"/>
          <w:szCs w:val="22"/>
        </w:rPr>
      </w:pPr>
      <w:r>
        <w:rPr>
          <w:b/>
          <w:bCs/>
          <w:i w:val="false"/>
          <w:iCs w:val="false"/>
          <w:color w:val="0070C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strike/>
          <w:color w:val="000080"/>
          <w:sz w:val="22"/>
          <w:szCs w:val="22"/>
        </w:rPr>
      </w:pPr>
      <w:r>
        <w:rPr>
          <w:b/>
          <w:bCs/>
          <w:i w:val="false"/>
          <w:iCs w:val="false"/>
          <w:strik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ind w:hanging="2"/>
        <w:rPr>
          <w:b/>
          <w:bCs/>
          <w:i w:val="false"/>
          <w:iCs w:val="false"/>
        </w:rPr>
      </w:pPr>
      <w:r>
        <w:rPr>
          <w:b/>
          <w:bCs/>
          <w:i w:val="false"/>
          <w:iCs w:val="false"/>
        </w:rPr>
      </w:r>
    </w:p>
    <w:p>
      <w:pPr>
        <w:pStyle w:val="Normal"/>
        <w:tabs>
          <w:tab w:val="clear" w:pos="720"/>
          <w:tab w:val="left" w:pos="567" w:leader="none"/>
        </w:tabs>
        <w:ind w:hanging="2"/>
        <w:jc w:val="both"/>
        <w:rPr>
          <w:b/>
          <w:bCs/>
          <w:color w:val="0070C0"/>
          <w:sz w:val="22"/>
          <w:szCs w:val="22"/>
        </w:rPr>
      </w:pPr>
      <w:r>
        <w:rPr>
          <w:b/>
          <w:bCs/>
          <w:color w:val="0070C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affffffffffa"/>
        <w:tblW w:w="9225" w:type="dxa"/>
        <w:jc w:val="start"/>
        <w:tblInd w:w="-39" w:type="dxa"/>
        <w:tblLayout w:type="fixed"/>
        <w:tblCellMar>
          <w:top w:w="0" w:type="dxa"/>
          <w:start w:w="108" w:type="dxa"/>
          <w:bottom w:w="0" w:type="dxa"/>
          <w:end w:w="108" w:type="dxa"/>
        </w:tblCellMar>
        <w:tblLook w:val="0000" w:firstRow="0" w:noVBand="0" w:lastRow="0" w:firstColumn="0" w:lastColumn="0" w:noHBand="0"/>
      </w:tblPr>
      <w:tblGrid>
        <w:gridCol w:w="9225"/>
      </w:tblGrid>
      <w:tr>
        <w:trPr>
          <w:trHeight w:val="724" w:hRule="atLeast"/>
        </w:trPr>
        <w:tc>
          <w:tcPr>
            <w:tcW w:w="9225" w:type="dxa"/>
            <w:tcBorders/>
            <w:shd w:color="auto" w:fill="00B0F0" w:val="clear"/>
          </w:tcPr>
          <w:p>
            <w:pPr>
              <w:pStyle w:val="Normal"/>
              <w:pBdr/>
              <w:jc w:val="center"/>
              <w:rPr>
                <w:b/>
                <w:bCs/>
                <w:i w:val="false"/>
                <w:iCs w:val="false"/>
                <w:color w:val="FFFFFF"/>
                <w:sz w:val="24"/>
                <w:szCs w:val="24"/>
              </w:rPr>
            </w:pPr>
            <w:bookmarkStart w:id="9" w:name="bookmark=id.30j0zll"/>
            <w:bookmarkEnd w:id="9"/>
            <w:r>
              <w:rPr>
                <w:b/>
                <w:bCs/>
                <w:i w:val="false"/>
                <w:iCs w:val="false"/>
                <w:color w:val="FFFFFF"/>
                <w:sz w:val="24"/>
                <w:szCs w:val="24"/>
              </w:rPr>
              <w:t>Anexo V</w:t>
            </w:r>
          </w:p>
          <w:p>
            <w:pPr>
              <w:pStyle w:val="Normal"/>
              <w:pBdr/>
              <w:jc w:val="center"/>
              <w:rPr>
                <w:b/>
                <w:bCs/>
                <w:i w:val="false"/>
                <w:iCs w:val="false"/>
                <w:color w:val="FFFFFF"/>
                <w:sz w:val="24"/>
                <w:szCs w:val="24"/>
              </w:rPr>
            </w:pPr>
            <w:r>
              <w:rPr>
                <w:b/>
                <w:bCs/>
                <w:i w:val="false"/>
                <w:iCs w:val="false"/>
                <w:color w:val="FFFFFF"/>
                <w:sz w:val="24"/>
                <w:szCs w:val="24"/>
              </w:rPr>
              <w:t>Modelo de proposición económica y demás criterios automáticos sometidos a fórmulas</w:t>
            </w:r>
          </w:p>
        </w:tc>
      </w:tr>
    </w:tbl>
    <w:p>
      <w:pPr>
        <w:pStyle w:val="Normal"/>
        <w:pBdr/>
        <w:jc w:val="both"/>
        <w:rPr>
          <w:i w:val="false"/>
          <w:iCs w:val="false"/>
          <w:color w:val="000000"/>
        </w:rPr>
      </w:pPr>
      <w:r>
        <w:rPr>
          <w:i w:val="false"/>
          <w:iCs w:val="false"/>
          <w:color w:val="000000"/>
        </w:rPr>
      </w:r>
    </w:p>
    <w:p>
      <w:pPr>
        <w:pStyle w:val="Normal"/>
        <w:pBdr/>
        <w:jc w:val="both"/>
        <w:rPr>
          <w:i w:val="false"/>
          <w:color w:val="000000"/>
          <w:sz w:val="26"/>
          <w:szCs w:val="26"/>
        </w:rPr>
      </w:pPr>
      <w:r>
        <w:rPr>
          <w:i w:val="false"/>
          <w:color w:val="000000"/>
          <w:sz w:val="22"/>
          <w:szCs w:val="22"/>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pPr>
        <w:pStyle w:val="Normal"/>
        <w:pBdr/>
        <w:jc w:val="both"/>
        <w:rPr>
          <w:i w:val="false"/>
          <w:color w:val="000000"/>
          <w:sz w:val="22"/>
          <w:szCs w:val="22"/>
        </w:rPr>
      </w:pPr>
      <w:r>
        <w:rPr>
          <w:i w:val="false"/>
          <w:color w:val="000000"/>
          <w:sz w:val="22"/>
          <w:szCs w:val="22"/>
        </w:rPr>
      </w:r>
    </w:p>
    <w:p>
      <w:pPr>
        <w:pStyle w:val="Normal"/>
        <w:pBdr/>
        <w:jc w:val="both"/>
        <w:rPr>
          <w:i w:val="false"/>
          <w:color w:val="000000"/>
          <w:sz w:val="26"/>
          <w:szCs w:val="26"/>
        </w:rPr>
      </w:pPr>
      <w:r>
        <w:rPr>
          <w:i w:val="false"/>
          <w:color w:val="000000"/>
          <w:sz w:val="22"/>
          <w:szCs w:val="22"/>
        </w:rPr>
        <w:t xml:space="preserve">A los efectos de lo expresado en el párrafo anterior se compromete a ejecutar el contrato de acuerdo con las siguientes condiciones: </w:t>
      </w:r>
    </w:p>
    <w:p>
      <w:pPr>
        <w:pStyle w:val="Normal"/>
        <w:pBdr/>
        <w:jc w:val="both"/>
        <w:rPr>
          <w:i w:val="false"/>
          <w:color w:val="000000"/>
        </w:rPr>
      </w:pPr>
      <w:r>
        <w:rPr>
          <w:i w:val="false"/>
          <w:color w:val="000000"/>
        </w:rPr>
      </w:r>
    </w:p>
    <w:p>
      <w:pPr>
        <w:pStyle w:val="Normal"/>
        <w:numPr>
          <w:ilvl w:val="0"/>
          <w:numId w:val="12"/>
        </w:numPr>
        <w:pBdr/>
        <w:spacing w:lineRule="auto" w:line="276"/>
        <w:jc w:val="both"/>
        <w:rPr>
          <w:b/>
          <w:i w:val="false"/>
          <w:color w:val="1F497D"/>
          <w:sz w:val="22"/>
          <w:szCs w:val="22"/>
        </w:rPr>
      </w:pPr>
      <w:r>
        <w:rPr>
          <w:b/>
          <w:i w:val="false"/>
          <w:color w:val="1F497D"/>
          <w:sz w:val="22"/>
          <w:szCs w:val="22"/>
        </w:rPr>
        <w:t xml:space="preserve">Oferta económica  </w:t>
      </w:r>
    </w:p>
    <w:p>
      <w:pPr>
        <w:pStyle w:val="Normal"/>
        <w:pBdr/>
        <w:jc w:val="both"/>
        <w:rPr>
          <w:i w:val="false"/>
          <w:color w:val="000000"/>
        </w:rPr>
      </w:pPr>
      <w:r>
        <w:rPr>
          <w:i w:val="false"/>
          <w:color w:val="000000"/>
        </w:rPr>
      </w:r>
    </w:p>
    <w:p>
      <w:pPr>
        <w:pStyle w:val="Normal"/>
        <w:jc w:val="both"/>
        <w:rPr/>
      </w:pPr>
      <w:r>
        <w:rPr>
          <w:b/>
        </w:rPr>
        <w:t>Importe anual de la prima</w:t>
      </w:r>
      <w:r>
        <w:rPr/>
        <w:t>:.....................................................................................................Euros</w:t>
      </w:r>
    </w:p>
    <w:p>
      <w:pPr>
        <w:pStyle w:val="Normal"/>
        <w:jc w:val="both"/>
        <w:rPr/>
      </w:pPr>
      <w:r>
        <w:rPr/>
      </w:r>
    </w:p>
    <w:p>
      <w:pPr>
        <w:pStyle w:val="Normal"/>
        <w:rPr/>
      </w:pPr>
      <w:r>
        <w:rPr>
          <w:b/>
        </w:rPr>
        <w:t>Impuestos, consorcio y tasa de aplicación</w:t>
      </w:r>
      <w:r>
        <w:rPr/>
        <w:t>: .......................................................................Euros</w:t>
      </w:r>
    </w:p>
    <w:p>
      <w:pPr>
        <w:pStyle w:val="Normal"/>
        <w:jc w:val="both"/>
        <w:rPr/>
      </w:pPr>
      <w:r>
        <w:rPr/>
      </w:r>
    </w:p>
    <w:p>
      <w:pPr>
        <w:pStyle w:val="Normal"/>
        <w:jc w:val="both"/>
        <w:rPr/>
      </w:pPr>
      <w:r>
        <w:rPr>
          <w:b/>
        </w:rPr>
        <w:t>TOTAL</w:t>
      </w:r>
      <w:r>
        <w:rPr/>
        <w:t>:.....................................................................................................................................Euros</w:t>
      </w:r>
    </w:p>
    <w:p>
      <w:pPr>
        <w:pStyle w:val="Normal"/>
        <w:jc w:val="both"/>
        <w:rPr/>
      </w:pPr>
      <w:r>
        <w:rPr/>
      </w:r>
    </w:p>
    <w:p>
      <w:pPr>
        <w:pStyle w:val="Normal"/>
        <w:jc w:val="both"/>
        <w:rPr/>
      </w:pPr>
      <w:r>
        <w:rPr/>
        <w:t xml:space="preserve">es decir ..................................................................... (letra) Euros. Teniendo en cuenta que la expresada cantidad comprende tanto el precio del contrato como todos los impuestos, gastos y tasas. </w:t>
      </w:r>
    </w:p>
    <w:p>
      <w:pPr>
        <w:pStyle w:val="Normal"/>
        <w:widowControl w:val="false"/>
        <w:tabs>
          <w:tab w:val="clear" w:pos="720"/>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 w:val="left" w:pos="7488" w:leader="none"/>
          <w:tab w:val="left" w:pos="8208" w:leader="none"/>
          <w:tab w:val="left" w:pos="8928" w:leader="none"/>
          <w:tab w:val="left" w:pos="9648" w:leader="none"/>
          <w:tab w:val="left" w:pos="10368" w:leader="none"/>
        </w:tabs>
        <w:jc w:val="both"/>
        <w:rPr/>
      </w:pPr>
      <w:r>
        <w:rPr/>
        <w:t xml:space="preserve"> </w:t>
      </w:r>
    </w:p>
    <w:p>
      <w:pPr>
        <w:pStyle w:val="Normal"/>
        <w:widowControl w:val="false"/>
        <w:tabs>
          <w:tab w:val="clear" w:pos="720"/>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 w:val="left" w:pos="7488" w:leader="none"/>
          <w:tab w:val="left" w:pos="8208" w:leader="none"/>
          <w:tab w:val="left" w:pos="8928" w:leader="none"/>
          <w:tab w:val="left" w:pos="9648" w:leader="none"/>
          <w:tab w:val="left" w:pos="10368" w:leader="none"/>
        </w:tabs>
        <w:jc w:val="both"/>
        <w:rPr/>
      </w:pPr>
      <w:r>
        <w:rPr/>
        <w:t>A todos los efectos se entenderá que las ofertas presentadas por los licitadores comprenden no sólo el precio del contrato, sino también cuantos recargos, impuestos legalmente repercutibles y demás tributos fuesen de aplicación (Impuesto de primas de Seguro, Impuesto de la Dirección general de Seguros, Recargos del consorcio de Compensación de Seguros y cualesquiera otros que les sea de aplicación). Así mismo, y de conformidad con el artículo 20 de la Ley 37/1992, de 28 de diciembre, del Impuesto sobre el Valor Añadido, el presente contrato está exento del IVA.</w:t>
      </w:r>
    </w:p>
    <w:p>
      <w:pPr>
        <w:pStyle w:val="Normal"/>
        <w:widowControl w:val="false"/>
        <w:tabs>
          <w:tab w:val="clear" w:pos="720"/>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 w:val="left" w:pos="7488" w:leader="none"/>
          <w:tab w:val="left" w:pos="8208" w:leader="none"/>
          <w:tab w:val="left" w:pos="8928" w:leader="none"/>
          <w:tab w:val="left" w:pos="9648" w:leader="none"/>
          <w:tab w:val="left" w:pos="10368" w:leader="none"/>
        </w:tabs>
        <w:jc w:val="both"/>
        <w:rPr/>
      </w:pPr>
      <w:r>
        <w:rPr/>
      </w:r>
    </w:p>
    <w:p>
      <w:pPr>
        <w:pStyle w:val="Normal"/>
        <w:spacing w:lineRule="auto" w:line="276" w:before="0" w:after="200"/>
        <w:jc w:val="both"/>
        <w:rPr>
          <w:i w:val="false"/>
          <w:color w:val="1F497D"/>
          <w:sz w:val="22"/>
          <w:szCs w:val="22"/>
        </w:rPr>
      </w:pPr>
      <w:r>
        <w:rPr>
          <w:b/>
          <w:i w:val="false"/>
          <w:color w:val="1F497D"/>
          <w:sz w:val="22"/>
          <w:szCs w:val="22"/>
        </w:rPr>
        <w:t>Propuesta de servicio de mediación</w:t>
      </w:r>
    </w:p>
    <w:p>
      <w:pPr>
        <w:pStyle w:val="Normal"/>
        <w:shd w:val="clear" w:color="auto" w:fill="FFFFFF"/>
        <w:spacing w:before="0" w:after="30"/>
        <w:ind w:end="45"/>
        <w:jc w:val="both"/>
        <w:rPr>
          <w:i w:val="false"/>
        </w:rPr>
      </w:pPr>
      <w:r>
        <w:rPr>
          <w:i w:val="false"/>
        </w:rPr>
        <w:t xml:space="preserve">En caso de que el licitador presente una propuesta que incluye un servicio de mediación de seguros para la mejora en la gestión de las pólizas y los siniestros, se harán constar los datos del servicio de mediación. </w:t>
      </w:r>
    </w:p>
    <w:p>
      <w:pPr>
        <w:pStyle w:val="Normal"/>
        <w:shd w:val="clear" w:color="auto" w:fill="FFFFFF"/>
        <w:spacing w:before="0" w:after="30"/>
        <w:ind w:end="45"/>
        <w:rPr>
          <w:i w:val="false"/>
        </w:rPr>
      </w:pPr>
      <w:r>
        <w:rPr>
          <w:i w:val="false"/>
        </w:rPr>
      </w:r>
    </w:p>
    <w:p>
      <w:pPr>
        <w:pStyle w:val="Normal"/>
        <w:jc w:val="both"/>
        <w:rPr/>
      </w:pPr>
      <w:r>
        <w:rPr>
          <w:b/>
        </w:rPr>
        <w:t xml:space="preserve">Datos del servicio de mediación </w:t>
      </w:r>
      <w:r>
        <w:rPr/>
        <w:t>(obligatorio cumplimentar si se ofrece servicio de mediación incluido):</w:t>
      </w:r>
    </w:p>
    <w:p>
      <w:pPr>
        <w:pStyle w:val="Normal"/>
        <w:jc w:val="both"/>
        <w:rPr/>
      </w:pPr>
      <w:r>
        <w:rPr/>
      </w:r>
    </w:p>
    <w:p>
      <w:pPr>
        <w:pStyle w:val="Normal"/>
        <w:jc w:val="both"/>
        <w:rPr/>
      </w:pPr>
      <w:r>
        <w:rPr>
          <w:b/>
        </w:rPr>
        <w:t>Razón social:</w:t>
      </w:r>
      <w:r>
        <w:rPr/>
        <w:t>.....................................................................................................</w:t>
      </w:r>
    </w:p>
    <w:p>
      <w:pPr>
        <w:pStyle w:val="Normal"/>
        <w:jc w:val="both"/>
        <w:rPr/>
      </w:pPr>
      <w:r>
        <w:rPr/>
        <w:t xml:space="preserve"> </w:t>
      </w:r>
    </w:p>
    <w:p>
      <w:pPr>
        <w:pStyle w:val="Normal"/>
        <w:rPr/>
      </w:pPr>
      <w:r>
        <w:rPr>
          <w:b/>
        </w:rPr>
        <w:t>NIF:</w:t>
      </w:r>
      <w:r>
        <w:rPr/>
        <w:t xml:space="preserve"> ..................................</w:t>
      </w:r>
    </w:p>
    <w:p>
      <w:pPr>
        <w:pStyle w:val="Normal"/>
        <w:pBdr/>
        <w:jc w:val="both"/>
        <w:rPr>
          <w:i w:val="false"/>
        </w:rPr>
      </w:pPr>
      <w:r>
        <w:rPr>
          <w:i w:val="false"/>
        </w:rPr>
      </w:r>
    </w:p>
    <w:p>
      <w:pPr>
        <w:pStyle w:val="Normal"/>
        <w:pBdr/>
        <w:jc w:val="both"/>
        <w:rPr>
          <w:i w:val="false"/>
          <w:color w:val="000000"/>
        </w:rPr>
      </w:pPr>
      <w:r>
        <w:rPr>
          <w:i w:val="false"/>
          <w:color w:val="000000"/>
        </w:rPr>
      </w:r>
    </w:p>
    <w:p>
      <w:pPr>
        <w:pStyle w:val="Normal"/>
        <w:pBdr/>
        <w:jc w:val="both"/>
        <w:rPr>
          <w:i w:val="false"/>
          <w:color w:val="000000"/>
          <w:sz w:val="22"/>
          <w:szCs w:val="22"/>
        </w:rPr>
      </w:pPr>
      <w:r>
        <w:rPr>
          <w:i w:val="false"/>
          <w:color w:val="000000"/>
          <w:sz w:val="22"/>
          <w:szCs w:val="22"/>
        </w:rPr>
        <w:t>En ...................................., a ....... de ..........de 20</w:t>
      </w:r>
      <w:r>
        <w:rPr>
          <w:i w:val="false"/>
          <w:sz w:val="22"/>
          <w:szCs w:val="22"/>
        </w:rPr>
        <w:t>2</w:t>
      </w:r>
      <w:r>
        <w:rPr>
          <w:i w:val="false"/>
          <w:color w:val="000000"/>
          <w:sz w:val="22"/>
          <w:szCs w:val="22"/>
        </w:rPr>
        <w:t>_</w:t>
      </w:r>
    </w:p>
    <w:p>
      <w:pPr>
        <w:pStyle w:val="Normal"/>
        <w:pBdr/>
        <w:jc w:val="both"/>
        <w:rPr>
          <w:i w:val="false"/>
          <w:color w:val="000000"/>
          <w:sz w:val="22"/>
          <w:szCs w:val="22"/>
        </w:rPr>
      </w:pPr>
      <w:r>
        <w:rPr>
          <w:i w:val="false"/>
          <w:color w:val="000000"/>
          <w:sz w:val="22"/>
          <w:szCs w:val="22"/>
        </w:rPr>
      </w:r>
    </w:p>
    <w:p>
      <w:pPr>
        <w:pStyle w:val="Normal"/>
        <w:pBdr/>
        <w:jc w:val="both"/>
        <w:rPr>
          <w:i w:val="false"/>
          <w:sz w:val="22"/>
          <w:szCs w:val="22"/>
        </w:rPr>
      </w:pPr>
      <w:r>
        <w:rPr>
          <w:i w:val="false"/>
          <w:sz w:val="22"/>
          <w:szCs w:val="22"/>
        </w:rPr>
        <w:t>ASEPEYO</w:t>
      </w:r>
    </w:p>
    <w:p>
      <w:pPr>
        <w:pStyle w:val="Normal"/>
        <w:spacing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
        <w:spacing w:before="240" w:after="240"/>
        <w:jc w:val="both"/>
        <w:rPr>
          <w:rFonts w:eastAsia="Calibri"/>
          <w:i w:val="false"/>
          <w:iCs w:val="false"/>
          <w:sz w:val="22"/>
          <w:szCs w:val="22"/>
          <w:u w:val="single"/>
        </w:rPr>
      </w:pPr>
      <w:r>
        <w:rPr>
          <w:rFonts w:eastAsia="Calibri"/>
          <w:i w:val="false"/>
          <w:iCs w:val="false"/>
          <w:sz w:val="22"/>
          <w:szCs w:val="22"/>
          <w:u w:val="single"/>
        </w:rPr>
        <w:t>INSTRUCCIONES CUMPLIMENTACIÓN</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r>
      <w:r>
        <w:rPr>
          <w:rFonts w:eastAsia="Calibri"/>
          <w:i w:val="false"/>
          <w:iCs w:val="false"/>
          <w:sz w:val="22"/>
          <w:szCs w:val="22"/>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pPr>
        <w:pStyle w:val="Normal"/>
        <w:spacing w:before="240" w:after="240"/>
        <w:jc w:val="both"/>
        <w:rPr>
          <w:rFonts w:eastAsia="Calibri"/>
          <w:i w:val="false"/>
          <w:iCs w:val="false"/>
          <w:sz w:val="22"/>
          <w:szCs w:val="22"/>
        </w:rPr>
      </w:pPr>
      <w:r>
        <w:rPr>
          <w:rFonts w:eastAsia="Calibri"/>
          <w:i w:val="false"/>
          <w:iCs w:val="false"/>
          <w:sz w:val="22"/>
          <w:szCs w:val="22"/>
        </w:rPr>
        <w:t>No se podrá presentar el formulario/modelo del Anexo V escrito a mano y no se aceptarán aquellos que contengan omisiones, errores o tachaduras que impidan conocer claramente su contenido.</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r>
      <w:r>
        <w:rPr>
          <w:rFonts w:eastAsia="Calibri"/>
          <w:i w:val="false"/>
          <w:iCs w:val="false"/>
          <w:sz w:val="22"/>
          <w:szCs w:val="22"/>
        </w:rPr>
        <w:t>Los precios se  presentarán en euros, con DOS decimales.</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r>
      <w:r>
        <w:rPr>
          <w:rFonts w:eastAsia="Calibri"/>
          <w:i w:val="false"/>
          <w:iCs w:val="false"/>
          <w:sz w:val="22"/>
          <w:szCs w:val="22"/>
          <w:u w:val="single"/>
        </w:rPr>
        <w:t>El precio ofertado no podrá ser cero en ningún ITEM</w:t>
      </w:r>
      <w:r>
        <w:rPr>
          <w:rFonts w:eastAsia="Calibri"/>
          <w:i w:val="false"/>
          <w:iCs w:val="false"/>
          <w:sz w:val="22"/>
          <w:szCs w:val="22"/>
        </w:rPr>
        <w:t>.</w:t>
      </w:r>
    </w:p>
    <w:p>
      <w:pPr>
        <w:pStyle w:val="Normal"/>
        <w:spacing w:before="240" w:after="240"/>
        <w:jc w:val="both"/>
        <w:rPr>
          <w:rFonts w:eastAsia="Calibri"/>
          <w:i w:val="false"/>
          <w:iCs w:val="false"/>
          <w:sz w:val="22"/>
          <w:szCs w:val="22"/>
        </w:rPr>
      </w:pPr>
      <w:r>
        <w:rPr>
          <w:rFonts w:eastAsia="Calibri"/>
          <w:i w:val="false"/>
          <w:iCs w:val="false"/>
          <w:sz w:val="22"/>
          <w:szCs w:val="22"/>
        </w:rPr>
      </w:r>
    </w:p>
    <w:p>
      <w:pPr>
        <w:pStyle w:val="Normal"/>
        <w:spacing w:before="240" w:after="240"/>
        <w:jc w:val="both"/>
        <w:rPr>
          <w:rFonts w:eastAsia="Calibri"/>
          <w:i w:val="false"/>
          <w:iCs w:val="false"/>
          <w:sz w:val="22"/>
          <w:szCs w:val="22"/>
        </w:rPr>
      </w:pPr>
      <w:r>
        <w:rPr>
          <w:rFonts w:eastAsia="Calibri"/>
          <w:i w:val="false"/>
          <w:iCs w:val="false"/>
          <w:sz w:val="22"/>
          <w:szCs w:val="22"/>
        </w:rPr>
        <w:t>Se podrán considerar las proposiciones presentadas como anormales cuando las mismas sean inferiores al presupuesto base de licitación en más de 20  unidades porcentuales.</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r>
    </w:p>
    <w:p>
      <w:pPr>
        <w:pStyle w:val="Normal"/>
        <w:spacing w:before="240" w:after="240"/>
        <w:jc w:val="both"/>
        <w:rPr>
          <w:rFonts w:eastAsia="Calibri"/>
          <w:i w:val="false"/>
          <w:iCs w:val="false"/>
          <w:sz w:val="22"/>
          <w:szCs w:val="22"/>
        </w:rPr>
      </w:pPr>
      <w:r>
        <w:rPr>
          <w:rFonts w:eastAsia="Calibri"/>
          <w:i w:val="false"/>
          <w:iCs w:val="false"/>
          <w:sz w:val="22"/>
          <w:szCs w:val="22"/>
          <w:u w:val="single"/>
        </w:rPr>
        <w:t>Se excluirán las ofertas económicas y a la empresa de la licitación</w:t>
      </w:r>
      <w:r>
        <w:rPr>
          <w:rFonts w:eastAsia="Calibri"/>
          <w:i w:val="false"/>
          <w:iCs w:val="false"/>
          <w:sz w:val="22"/>
          <w:szCs w:val="22"/>
        </w:rPr>
        <w:t>:</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r>
    </w:p>
    <w:p>
      <w:pPr>
        <w:pStyle w:val="Normal"/>
        <w:spacing w:before="240" w:after="240"/>
        <w:jc w:val="both"/>
        <w:rPr>
          <w:rFonts w:eastAsia="Calibri"/>
          <w:i w:val="false"/>
          <w:iCs w:val="false"/>
          <w:sz w:val="22"/>
          <w:szCs w:val="22"/>
        </w:rPr>
      </w:pPr>
      <w:r>
        <w:rPr>
          <w:rFonts w:eastAsia="Calibri"/>
          <w:i w:val="false"/>
          <w:iCs w:val="false"/>
          <w:sz w:val="22"/>
          <w:szCs w:val="22"/>
        </w:rPr>
        <w:t xml:space="preserve">-              </w:t>
        <w:tab/>
        <w:t xml:space="preserve">Cuando las empresas no presenten su oferta en los términos exigidos en los pliegos </w:t>
      </w:r>
    </w:p>
    <w:p>
      <w:pPr>
        <w:pStyle w:val="Normal"/>
        <w:spacing w:before="240" w:after="240"/>
        <w:jc w:val="both"/>
        <w:rPr>
          <w:rFonts w:eastAsia="Calibri"/>
          <w:b/>
          <w:bCs/>
          <w:i w:val="false"/>
          <w:iCs w:val="false"/>
          <w:sz w:val="22"/>
          <w:szCs w:val="22"/>
        </w:rPr>
      </w:pPr>
      <w:r>
        <w:rPr>
          <w:rFonts w:eastAsia="Calibri"/>
          <w:i w:val="false"/>
          <w:iCs w:val="false"/>
          <w:sz w:val="22"/>
          <w:szCs w:val="22"/>
        </w:rPr>
        <w:t xml:space="preserve">-              </w:t>
        <w:tab/>
      </w:r>
      <w:r>
        <w:rPr>
          <w:rFonts w:eastAsia="Calibri"/>
          <w:b/>
          <w:bCs/>
          <w:i w:val="false"/>
          <w:iCs w:val="false"/>
          <w:sz w:val="22"/>
          <w:szCs w:val="22"/>
        </w:rPr>
        <w:t xml:space="preserve">Cuando se hayan ofertado algún precio a cero </w:t>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p>
      <w:pPr>
        <w:pStyle w:val="Normal"/>
        <w:jc w:val="both"/>
        <w:rPr>
          <w:i w:val="false"/>
          <w:iCs w:val="false"/>
        </w:rPr>
      </w:pPr>
      <w:r>
        <w:rPr>
          <w:i w:val="false"/>
          <w:iCs w:val="false"/>
        </w:rPr>
      </w:r>
    </w:p>
    <w:tbl>
      <w:tblPr>
        <w:tblStyle w:val="affffffffffe"/>
        <w:tblpPr w:vertAnchor="text" w:horzAnchor="text" w:bottomFromText="180" w:leftFromText="180" w:rightFromText="180" w:topFromText="180" w:tblpX="-215" w:tblpY="5"/>
        <w:tblW w:w="9300" w:type="dxa"/>
        <w:jc w:val="start"/>
        <w:tblInd w:w="108" w:type="dxa"/>
        <w:tblLayout w:type="fixed"/>
        <w:tblCellMar>
          <w:top w:w="0" w:type="dxa"/>
          <w:start w:w="108" w:type="dxa"/>
          <w:bottom w:w="0" w:type="dxa"/>
          <w:end w:w="108" w:type="dxa"/>
        </w:tblCellMar>
        <w:tblLook w:val="0000" w:firstRow="0" w:noVBand="0" w:lastRow="0" w:firstColumn="0" w:lastColumn="0" w:noHBand="0"/>
      </w:tblPr>
      <w:tblGrid>
        <w:gridCol w:w="9300"/>
      </w:tblGrid>
      <w:tr>
        <w:trPr>
          <w:trHeight w:val="348" w:hRule="atLeast"/>
        </w:trPr>
        <w:tc>
          <w:tcPr>
            <w:tcW w:w="9300" w:type="dxa"/>
            <w:tcBorders/>
            <w:shd w:color="auto" w:fill="00B0F0" w:val="clear"/>
          </w:tcPr>
          <w:p>
            <w:pPr>
              <w:pStyle w:val="Normal"/>
              <w:jc w:val="center"/>
              <w:rPr>
                <w:b/>
                <w:bCs/>
                <w:i w:val="false"/>
                <w:iCs w:val="false"/>
                <w:color w:val="FFFFFF"/>
                <w:sz w:val="24"/>
                <w:szCs w:val="24"/>
              </w:rPr>
            </w:pPr>
            <w:bookmarkStart w:id="10" w:name="bookmark=kix.eq5seyll17kg"/>
            <w:bookmarkEnd w:id="10"/>
            <w:r>
              <w:rPr>
                <w:b/>
                <w:bCs/>
                <w:i w:val="false"/>
                <w:iCs w:val="false"/>
                <w:color w:val="FFFFFF"/>
                <w:sz w:val="24"/>
                <w:szCs w:val="24"/>
              </w:rPr>
              <w:t>Anexo VI</w:t>
            </w:r>
          </w:p>
          <w:p>
            <w:pPr>
              <w:pStyle w:val="Normal"/>
              <w:jc w:val="center"/>
              <w:rPr>
                <w:b/>
                <w:bCs/>
                <w:i w:val="false"/>
                <w:iCs w:val="false"/>
                <w:color w:val="FFFFFF"/>
                <w:sz w:val="24"/>
                <w:szCs w:val="24"/>
              </w:rPr>
            </w:pPr>
            <w:r>
              <w:rPr>
                <w:b/>
                <w:bCs/>
                <w:i w:val="false"/>
                <w:iCs w:val="false"/>
                <w:color w:val="FFFFFF"/>
                <w:sz w:val="24"/>
                <w:szCs w:val="24"/>
              </w:rPr>
              <w:t>Condiciones especiales de ejecución</w:t>
            </w:r>
          </w:p>
        </w:tc>
      </w:tr>
    </w:tbl>
    <w:p>
      <w:pPr>
        <w:pStyle w:val="Normal"/>
        <w:pBdr/>
        <w:jc w:val="both"/>
        <w:rPr>
          <w:b/>
          <w:bCs/>
          <w:i w:val="false"/>
          <w:iCs w:val="false"/>
          <w:sz w:val="22"/>
          <w:szCs w:val="22"/>
        </w:rPr>
      </w:pPr>
      <w:r>
        <w:rPr>
          <w:b/>
          <w:bCs/>
          <w:i w:val="false"/>
          <w:iCs w:val="false"/>
          <w:sz w:val="22"/>
          <w:szCs w:val="22"/>
        </w:rPr>
      </w:r>
    </w:p>
    <w:p>
      <w:pPr>
        <w:pStyle w:val="Normal"/>
        <w:pBdr/>
        <w:jc w:val="both"/>
        <w:rPr>
          <w:i w:val="false"/>
          <w:iCs w:val="false"/>
          <w:sz w:val="22"/>
          <w:szCs w:val="22"/>
        </w:rPr>
      </w:pPr>
      <w:r>
        <w:rPr>
          <w:i w:val="false"/>
          <w:iCs w:val="false"/>
          <w:sz w:val="22"/>
          <w:szCs w:val="22"/>
        </w:rPr>
        <w:t>1.-La ejecución del contrato se sujetará a la siguiente condición de carácter social:</w:t>
      </w:r>
    </w:p>
    <w:p>
      <w:pPr>
        <w:pStyle w:val="Normal"/>
        <w:pBdr/>
        <w:jc w:val="both"/>
        <w:rPr>
          <w:i w:val="false"/>
          <w:iCs w:val="false"/>
          <w:sz w:val="22"/>
          <w:szCs w:val="22"/>
        </w:rPr>
      </w:pPr>
      <w:r>
        <w:rPr>
          <w:i w:val="false"/>
          <w:iCs w:val="false"/>
          <w:sz w:val="22"/>
          <w:szCs w:val="22"/>
        </w:rPr>
      </w:r>
    </w:p>
    <w:p>
      <w:pPr>
        <w:pStyle w:val="Normal"/>
        <w:pBdr/>
        <w:jc w:val="both"/>
        <w:rPr>
          <w:i w:val="false"/>
          <w:iCs w:val="false"/>
        </w:rPr>
      </w:pPr>
      <w:r>
        <w:rPr>
          <w:i w:val="false"/>
          <w:iCs w:val="false"/>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pPr>
        <w:pStyle w:val="Normal"/>
        <w:jc w:val="both"/>
        <w:rPr>
          <w:i w:val="false"/>
          <w:iCs w:val="false"/>
        </w:rPr>
      </w:pPr>
      <w:r>
        <w:rPr>
          <w:i w:val="false"/>
          <w:iCs w:val="false"/>
        </w:rPr>
      </w:r>
    </w:p>
    <w:p>
      <w:pPr>
        <w:pStyle w:val="Normal"/>
        <w:numPr>
          <w:ilvl w:val="0"/>
          <w:numId w:val="1"/>
        </w:numPr>
        <w:jc w:val="both"/>
        <w:rPr>
          <w:rFonts w:eastAsia="Arial"/>
          <w:i w:val="false"/>
          <w:iCs w:val="false"/>
          <w:sz w:val="22"/>
          <w:szCs w:val="22"/>
        </w:rPr>
      </w:pPr>
      <w:r>
        <w:rPr>
          <w:i w:val="false"/>
          <w:iCs w:val="false"/>
          <w:sz w:val="22"/>
          <w:szCs w:val="22"/>
        </w:rPr>
        <w:t>Flexibilidad de los horarios laborales de entrada y salida en el trabajo y de las pausas o descanso para la comida, café, etc.</w:t>
      </w:r>
    </w:p>
    <w:p>
      <w:pPr>
        <w:pStyle w:val="Normal"/>
        <w:ind w:hanging="2"/>
        <w:jc w:val="both"/>
        <w:rPr>
          <w:i w:val="false"/>
          <w:iCs w:val="false"/>
          <w:sz w:val="22"/>
          <w:szCs w:val="22"/>
        </w:rPr>
      </w:pPr>
      <w:r>
        <w:rPr>
          <w:i w:val="false"/>
          <w:iCs w:val="false"/>
          <w:sz w:val="22"/>
          <w:szCs w:val="22"/>
        </w:rPr>
      </w:r>
    </w:p>
    <w:p>
      <w:pPr>
        <w:pStyle w:val="Normal"/>
        <w:numPr>
          <w:ilvl w:val="0"/>
          <w:numId w:val="1"/>
        </w:numPr>
        <w:jc w:val="both"/>
        <w:rPr>
          <w:rFonts w:eastAsia="Arial"/>
          <w:i w:val="false"/>
          <w:iCs w:val="false"/>
          <w:sz w:val="22"/>
          <w:szCs w:val="22"/>
        </w:rPr>
      </w:pPr>
      <w:r>
        <w:rPr>
          <w:i w:val="false"/>
          <w:iCs w:val="false"/>
          <w:sz w:val="22"/>
          <w:szCs w:val="22"/>
        </w:rPr>
        <w:t xml:space="preserve">Adecuación de los horarios a los ritmos cotidianos de las personas: medida de  adecuación  de los horarios laborales a los horarios de los transportes, de las escuelas, de los comercios, etc. </w:t>
      </w:r>
    </w:p>
    <w:p>
      <w:pPr>
        <w:pStyle w:val="Normal"/>
        <w:ind w:hanging="2"/>
        <w:jc w:val="both"/>
        <w:rPr>
          <w:i w:val="false"/>
          <w:iCs w:val="false"/>
          <w:sz w:val="22"/>
          <w:szCs w:val="22"/>
        </w:rPr>
      </w:pPr>
      <w:r>
        <w:rPr>
          <w:i w:val="false"/>
          <w:iCs w:val="false"/>
          <w:sz w:val="22"/>
          <w:szCs w:val="22"/>
        </w:rPr>
      </w:r>
    </w:p>
    <w:p>
      <w:pPr>
        <w:pStyle w:val="Normal"/>
        <w:numPr>
          <w:ilvl w:val="0"/>
          <w:numId w:val="1"/>
        </w:numPr>
        <w:jc w:val="both"/>
        <w:rPr>
          <w:rFonts w:eastAsia="Arial"/>
          <w:i w:val="false"/>
          <w:iCs w:val="false"/>
          <w:sz w:val="22"/>
          <w:szCs w:val="22"/>
        </w:rPr>
      </w:pPr>
      <w:r>
        <w:rPr>
          <w:i w:val="false"/>
          <w:iCs w:val="false"/>
          <w:sz w:val="22"/>
          <w:szCs w:val="22"/>
        </w:rPr>
        <w:t>Teletrabajo: trabajo a distancia sin estar de forma permanente en el puesto de trabajo y haciendo uso de las nuevas tecnologías.</w:t>
      </w:r>
    </w:p>
    <w:p>
      <w:pPr>
        <w:pStyle w:val="Normal"/>
        <w:ind w:hanging="2"/>
        <w:jc w:val="both"/>
        <w:rPr>
          <w:i w:val="false"/>
          <w:iCs w:val="false"/>
          <w:sz w:val="22"/>
          <w:szCs w:val="22"/>
        </w:rPr>
      </w:pPr>
      <w:r>
        <w:rPr>
          <w:i w:val="false"/>
          <w:iCs w:val="false"/>
          <w:sz w:val="22"/>
          <w:szCs w:val="22"/>
        </w:rPr>
      </w:r>
    </w:p>
    <w:p>
      <w:pPr>
        <w:pStyle w:val="Normal"/>
        <w:numPr>
          <w:ilvl w:val="0"/>
          <w:numId w:val="1"/>
        </w:numPr>
        <w:jc w:val="both"/>
        <w:rPr>
          <w:rFonts w:eastAsia="Arial"/>
          <w:i w:val="false"/>
          <w:iCs w:val="false"/>
          <w:sz w:val="22"/>
          <w:szCs w:val="22"/>
        </w:rPr>
      </w:pPr>
      <w:r>
        <w:rPr>
          <w:i w:val="false"/>
          <w:iCs w:val="false"/>
          <w:sz w:val="22"/>
          <w:szCs w:val="22"/>
        </w:rPr>
        <w:t>Apoyo económico para sufragar gastos de escuelas infantiles y de otros centros de atención a personas dependientes.</w:t>
      </w:r>
    </w:p>
    <w:p>
      <w:pPr>
        <w:pStyle w:val="Normal"/>
        <w:ind w:hanging="2"/>
        <w:jc w:val="both"/>
        <w:rPr>
          <w:i w:val="false"/>
          <w:iCs w:val="false"/>
          <w:sz w:val="22"/>
          <w:szCs w:val="22"/>
        </w:rPr>
      </w:pPr>
      <w:r>
        <w:rPr>
          <w:i w:val="false"/>
          <w:iCs w:val="false"/>
          <w:sz w:val="22"/>
          <w:szCs w:val="22"/>
        </w:rPr>
      </w:r>
    </w:p>
    <w:p>
      <w:pPr>
        <w:pStyle w:val="Normal"/>
        <w:numPr>
          <w:ilvl w:val="0"/>
          <w:numId w:val="1"/>
        </w:numPr>
        <w:jc w:val="both"/>
        <w:rPr>
          <w:rFonts w:eastAsia="Arial"/>
          <w:i w:val="false"/>
          <w:iCs w:val="false"/>
          <w:sz w:val="22"/>
          <w:szCs w:val="22"/>
        </w:rPr>
      </w:pPr>
      <w:r>
        <w:rPr>
          <w:i w:val="false"/>
          <w:iCs w:val="false"/>
          <w:sz w:val="22"/>
          <w:szCs w:val="22"/>
        </w:rPr>
        <w:t>Realización de la formación interna de la organización en horario laboral, o bien, en parte de éste.</w:t>
      </w:r>
    </w:p>
    <w:p>
      <w:pPr>
        <w:pStyle w:val="Normal"/>
        <w:ind w:start="718"/>
        <w:jc w:val="both"/>
        <w:rPr>
          <w:i w:val="false"/>
          <w:iCs w:val="false"/>
          <w:sz w:val="22"/>
          <w:szCs w:val="22"/>
        </w:rPr>
      </w:pPr>
      <w:r>
        <w:rPr>
          <w:i w:val="false"/>
          <w:iCs w:val="false"/>
          <w:sz w:val="22"/>
          <w:szCs w:val="22"/>
        </w:rPr>
      </w:r>
    </w:p>
    <w:p>
      <w:pPr>
        <w:pStyle w:val="Normal"/>
        <w:numPr>
          <w:ilvl w:val="0"/>
          <w:numId w:val="1"/>
        </w:numPr>
        <w:jc w:val="both"/>
        <w:rPr>
          <w:rFonts w:eastAsia="Arial"/>
          <w:i w:val="false"/>
          <w:iCs w:val="false"/>
          <w:sz w:val="22"/>
          <w:szCs w:val="22"/>
        </w:rPr>
      </w:pPr>
      <w:r>
        <w:rPr>
          <w:i w:val="false"/>
          <w:iCs w:val="false"/>
          <w:sz w:val="22"/>
          <w:szCs w:val="22"/>
        </w:rPr>
        <w:t>No establecer  reuniones en tiempos límites de descanso</w:t>
      </w:r>
    </w:p>
    <w:p>
      <w:pPr>
        <w:pStyle w:val="Normal"/>
        <w:ind w:firstLine="720"/>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El incumplimiento de esta condición especial de ejecución dará lugar a la imposición de penalidades en los términos del artículo 192.1 de la LCSP.</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2.- Si la ejecución del contrato implica la cesión de datos de carácter personal, la empresa</w:t>
      </w:r>
    </w:p>
    <w:p>
      <w:pPr>
        <w:pStyle w:val="Normal"/>
        <w:jc w:val="both"/>
        <w:rPr>
          <w:i w:val="false"/>
          <w:iCs w:val="false"/>
          <w:sz w:val="22"/>
          <w:szCs w:val="22"/>
        </w:rPr>
      </w:pPr>
      <w:r>
        <w:rPr>
          <w:i w:val="false"/>
          <w:iCs w:val="false"/>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De acuerdo con lo establecido en el artículo 202.1 de la LCSP, esta obligación tiene el carácter de obligación contractual esencial de conformidad con lo dispuesto en la letra f) del apartado 1 del artículo 211.</w:t>
      </w:r>
    </w:p>
    <w:p>
      <w:pPr>
        <w:pStyle w:val="Normal"/>
        <w:jc w:val="both"/>
        <w:rPr>
          <w:i w:val="false"/>
          <w:iCs w:val="false"/>
          <w:sz w:val="22"/>
          <w:szCs w:val="22"/>
        </w:rPr>
      </w:pPr>
      <w:r>
        <w:rPr>
          <w:i w:val="false"/>
          <w:iCs w:val="false"/>
          <w:sz w:val="22"/>
          <w:szCs w:val="22"/>
        </w:rPr>
      </w:r>
    </w:p>
    <w:p>
      <w:pPr>
        <w:pStyle w:val="Normal"/>
        <w:pBdr/>
        <w:jc w:val="both"/>
        <w:rPr>
          <w:color w:val="000000"/>
          <w:sz w:val="22"/>
          <w:szCs w:val="22"/>
        </w:rPr>
      </w:pPr>
      <w:r>
        <w:rPr>
          <w:color w:val="000000"/>
          <w:sz w:val="22"/>
          <w:szCs w:val="22"/>
        </w:rPr>
      </w:r>
    </w:p>
    <w:p>
      <w:pPr>
        <w:pStyle w:val="Normal"/>
        <w:pBdr/>
        <w:jc w:val="both"/>
        <w:rPr>
          <w:sz w:val="18"/>
          <w:szCs w:val="18"/>
        </w:rPr>
      </w:pPr>
      <w:r>
        <w:rPr>
          <w:sz w:val="18"/>
          <w:szCs w:val="18"/>
        </w:rPr>
      </w:r>
    </w:p>
    <w:tbl>
      <w:tblPr>
        <w:tblStyle w:val="afffffffffff"/>
        <w:tblW w:w="9120" w:type="dxa"/>
        <w:jc w:val="start"/>
        <w:tblInd w:w="-54" w:type="dxa"/>
        <w:tblLayout w:type="fixed"/>
        <w:tblCellMar>
          <w:top w:w="0" w:type="dxa"/>
          <w:start w:w="108" w:type="dxa"/>
          <w:bottom w:w="0" w:type="dxa"/>
          <w:end w:w="108" w:type="dxa"/>
        </w:tblCellMar>
        <w:tblLook w:val="0000" w:firstRow="0" w:noVBand="0" w:lastRow="0" w:firstColumn="0" w:lastColumn="0" w:noHBand="0"/>
      </w:tblPr>
      <w:tblGrid>
        <w:gridCol w:w="9120"/>
      </w:tblGrid>
      <w:tr>
        <w:trPr>
          <w:trHeight w:val="348" w:hRule="atLeast"/>
        </w:trPr>
        <w:tc>
          <w:tcPr>
            <w:tcW w:w="9120" w:type="dxa"/>
            <w:tcBorders/>
            <w:shd w:color="auto" w:fill="00B0F0" w:val="clear"/>
          </w:tcPr>
          <w:p>
            <w:pPr>
              <w:pStyle w:val="Normal"/>
              <w:pBdr/>
              <w:jc w:val="center"/>
              <w:rPr>
                <w:b/>
                <w:bCs/>
                <w:i w:val="false"/>
                <w:iCs w:val="false"/>
                <w:color w:val="FFFFFF"/>
                <w:sz w:val="24"/>
                <w:szCs w:val="24"/>
              </w:rPr>
            </w:pPr>
            <w:bookmarkStart w:id="11" w:name="bookmark=id.3znysh7"/>
            <w:bookmarkEnd w:id="11"/>
            <w:r>
              <w:rPr>
                <w:b/>
                <w:bCs/>
                <w:i w:val="false"/>
                <w:iCs w:val="false"/>
                <w:color w:val="FFFFFF"/>
                <w:sz w:val="24"/>
                <w:szCs w:val="24"/>
              </w:rPr>
              <w:t>Anexo VII</w:t>
            </w:r>
          </w:p>
          <w:p>
            <w:pPr>
              <w:pStyle w:val="Normal"/>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Documento Europeo Único de Contratación</w:t>
            </w:r>
          </w:p>
        </w:tc>
      </w:tr>
    </w:tbl>
    <w:p>
      <w:pPr>
        <w:pStyle w:val="Normal"/>
        <w:pBdr/>
        <w:jc w:val="both"/>
        <w:rPr>
          <w:b/>
          <w:bCs/>
          <w:i w:val="false"/>
          <w:iCs w:val="false"/>
          <w:color w:val="000080"/>
          <w:sz w:val="22"/>
          <w:szCs w:val="22"/>
        </w:rPr>
      </w:pPr>
      <w:r>
        <w:rPr>
          <w:b/>
          <w:bCs/>
          <w:i w:val="false"/>
          <w:iCs w:val="false"/>
          <w:color w:val="000080"/>
          <w:sz w:val="22"/>
          <w:szCs w:val="22"/>
        </w:rPr>
      </w:r>
    </w:p>
    <w:p>
      <w:pPr>
        <w:pStyle w:val="Normal"/>
        <w:pBdr/>
        <w:jc w:val="both"/>
        <w:rPr>
          <w:b/>
          <w:bCs/>
          <w:color w:val="000080"/>
          <w:sz w:val="18"/>
          <w:szCs w:val="18"/>
        </w:rPr>
      </w:pPr>
      <w:r>
        <w:rPr>
          <w:b/>
          <w:bCs/>
          <w:color w:val="000080"/>
          <w:sz w:val="18"/>
          <w:szCs w:val="18"/>
        </w:rPr>
      </w:r>
    </w:p>
    <w:p>
      <w:pPr>
        <w:pStyle w:val="Normal"/>
        <w:pBdr/>
        <w:shd w:val="clear" w:color="auto" w:fill="FFFFFF"/>
        <w:ind w:hanging="2" w:start="-2" w:end="145"/>
        <w:jc w:val="both"/>
        <w:rPr>
          <w:i w:val="false"/>
          <w:iCs w:val="false"/>
          <w:color w:val="000000"/>
          <w:sz w:val="22"/>
          <w:szCs w:val="22"/>
        </w:rPr>
      </w:pPr>
      <w:r>
        <w:rPr>
          <w:i w:val="false"/>
          <w:iCs w:val="false"/>
          <w:color w:val="000000"/>
          <w:sz w:val="22"/>
          <w:szCs w:val="22"/>
        </w:rPr>
        <w:t>Para poder cumplimentar la declaración responsable deberá descargarse el archivo publicado en la ficha de la licitación de la Plataforma de Contratación del Sector Público. </w:t>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sz w:val="18"/>
          <w:szCs w:val="18"/>
        </w:rPr>
      </w:pPr>
      <w:r>
        <w:rPr>
          <w:sz w:val="18"/>
          <w:szCs w:val="18"/>
        </w:rPr>
      </w:r>
    </w:p>
    <w:p>
      <w:pPr>
        <w:pStyle w:val="Normal"/>
        <w:pBdr/>
        <w:jc w:val="both"/>
        <w:rPr>
          <w:sz w:val="18"/>
          <w:szCs w:val="18"/>
        </w:rPr>
      </w:pPr>
      <w:r>
        <w:rPr>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p>
      <w:pPr>
        <w:pStyle w:val="Normal"/>
        <w:pBdr/>
        <w:jc w:val="both"/>
        <w:rPr>
          <w:sz w:val="18"/>
          <w:szCs w:val="18"/>
        </w:rPr>
      </w:pPr>
      <w:r>
        <w:rPr>
          <w:sz w:val="18"/>
          <w:szCs w:val="18"/>
        </w:rPr>
      </w:r>
    </w:p>
    <w:p>
      <w:pPr>
        <w:pStyle w:val="Normal"/>
        <w:pBdr/>
        <w:jc w:val="both"/>
        <w:rPr>
          <w:sz w:val="18"/>
          <w:szCs w:val="18"/>
        </w:rPr>
      </w:pPr>
      <w:r>
        <w:rPr>
          <w:sz w:val="18"/>
          <w:szCs w:val="18"/>
        </w:rPr>
      </w:r>
    </w:p>
    <w:p>
      <w:pPr>
        <w:pStyle w:val="Normal"/>
        <w:pBdr/>
        <w:jc w:val="both"/>
        <w:rPr>
          <w:color w:val="000000"/>
          <w:sz w:val="18"/>
          <w:szCs w:val="18"/>
        </w:rPr>
      </w:pPr>
      <w:r>
        <w:rPr>
          <w:color w:val="000000"/>
          <w:sz w:val="18"/>
          <w:szCs w:val="18"/>
        </w:rPr>
      </w:r>
    </w:p>
    <w:p>
      <w:pPr>
        <w:pStyle w:val="Normal"/>
        <w:pBdr/>
        <w:jc w:val="both"/>
        <w:rPr>
          <w:color w:val="000000"/>
          <w:sz w:val="18"/>
          <w:szCs w:val="18"/>
        </w:rPr>
      </w:pPr>
      <w:r>
        <w:rPr>
          <w:color w:val="000000"/>
          <w:sz w:val="18"/>
          <w:szCs w:val="18"/>
        </w:rPr>
      </w:r>
    </w:p>
    <w:tbl>
      <w:tblPr>
        <w:tblStyle w:val="afffffffffff0"/>
        <w:tblW w:w="9270" w:type="dxa"/>
        <w:jc w:val="start"/>
        <w:tblInd w:w="-129" w:type="dxa"/>
        <w:tblLayout w:type="fixed"/>
        <w:tblCellMar>
          <w:top w:w="0" w:type="dxa"/>
          <w:start w:w="108" w:type="dxa"/>
          <w:bottom w:w="0" w:type="dxa"/>
          <w:end w:w="108" w:type="dxa"/>
        </w:tblCellMar>
        <w:tblLook w:val="0000" w:firstRow="0" w:noVBand="0" w:lastRow="0" w:firstColumn="0" w:lastColumn="0" w:noHBand="0"/>
      </w:tblPr>
      <w:tblGrid>
        <w:gridCol w:w="9270"/>
      </w:tblGrid>
      <w:tr>
        <w:trPr>
          <w:trHeight w:val="566" w:hRule="atLeast"/>
        </w:trPr>
        <w:tc>
          <w:tcPr>
            <w:tcW w:w="9270" w:type="dxa"/>
            <w:tcBorders/>
            <w:shd w:color="auto" w:fill="00B0F0" w:val="clear"/>
          </w:tcPr>
          <w:p>
            <w:pPr>
              <w:pStyle w:val="Normal"/>
              <w:pBdr/>
              <w:jc w:val="center"/>
              <w:rPr>
                <w:b/>
                <w:bCs/>
                <w:i w:val="false"/>
                <w:iCs w:val="false"/>
                <w:color w:val="FFFFFF"/>
                <w:sz w:val="24"/>
                <w:szCs w:val="24"/>
              </w:rPr>
            </w:pPr>
            <w:bookmarkStart w:id="12" w:name="bookmark=id.2et92p0"/>
            <w:bookmarkEnd w:id="12"/>
            <w:r>
              <w:rPr>
                <w:b/>
                <w:bCs/>
                <w:i w:val="false"/>
                <w:iCs w:val="false"/>
                <w:color w:val="FFFFFF"/>
                <w:sz w:val="24"/>
                <w:szCs w:val="24"/>
              </w:rPr>
              <w:t>Anexo VIII</w:t>
            </w:r>
          </w:p>
          <w:p>
            <w:pPr>
              <w:pStyle w:val="Normal"/>
              <w:pBdr/>
              <w:jc w:val="center"/>
              <w:rPr>
                <w:b/>
                <w:bCs/>
                <w:i w:val="false"/>
                <w:iCs w:val="false"/>
                <w:color w:val="FFFFFF"/>
                <w:sz w:val="24"/>
                <w:szCs w:val="24"/>
              </w:rPr>
            </w:pPr>
            <w:r>
              <w:rPr>
                <w:b/>
                <w:bCs/>
                <w:i w:val="false"/>
                <w:iCs w:val="false"/>
                <w:color w:val="FFFFFF"/>
                <w:sz w:val="24"/>
                <w:szCs w:val="24"/>
              </w:rPr>
              <w:t>Penalidades</w:t>
            </w:r>
          </w:p>
        </w:tc>
      </w:tr>
    </w:tbl>
    <w:p>
      <w:pPr>
        <w:pStyle w:val="Normal"/>
        <w:pBdr/>
        <w:jc w:val="both"/>
        <w:rPr>
          <w:b/>
          <w:bCs/>
          <w:i w:val="false"/>
          <w:iCs w:val="false"/>
          <w:color w:val="000080"/>
          <w:sz w:val="22"/>
          <w:szCs w:val="22"/>
        </w:rPr>
      </w:pPr>
      <w:r>
        <w:rPr>
          <w:b/>
          <w:bCs/>
          <w:i w:val="false"/>
          <w:iCs w:val="false"/>
          <w:color w:val="000080"/>
          <w:sz w:val="22"/>
          <w:szCs w:val="22"/>
        </w:rPr>
      </w:r>
    </w:p>
    <w:p>
      <w:pPr>
        <w:pStyle w:val="Normal"/>
        <w:jc w:val="both"/>
        <w:rPr>
          <w:i w:val="false"/>
          <w:iCs w:val="false"/>
          <w:color w:val="222222"/>
          <w:sz w:val="22"/>
          <w:szCs w:val="22"/>
        </w:rPr>
      </w:pPr>
      <w:r>
        <w:rPr>
          <w:i w:val="false"/>
          <w:iCs w:val="false"/>
          <w:color w:val="222222"/>
          <w:sz w:val="22"/>
          <w:szCs w:val="22"/>
        </w:rPr>
        <w:t xml:space="preserve">La/s empresa/s contratistas/s podrá/n incurrir en los siguientes incumplimientos: </w:t>
      </w:r>
    </w:p>
    <w:p>
      <w:pPr>
        <w:pStyle w:val="Normal"/>
        <w:jc w:val="both"/>
        <w:rPr>
          <w:b/>
          <w:bCs/>
          <w:i w:val="false"/>
          <w:iCs w:val="false"/>
          <w:color w:val="222222"/>
          <w:sz w:val="22"/>
          <w:szCs w:val="22"/>
        </w:rPr>
      </w:pPr>
      <w:r>
        <w:rPr>
          <w:b/>
          <w:bCs/>
          <w:i w:val="false"/>
          <w:iCs w:val="false"/>
          <w:color w:val="222222"/>
          <w:sz w:val="22"/>
          <w:szCs w:val="22"/>
        </w:rPr>
      </w:r>
    </w:p>
    <w:p>
      <w:pPr>
        <w:pStyle w:val="Normal"/>
        <w:jc w:val="both"/>
        <w:rPr>
          <w:b/>
          <w:bCs/>
          <w:i w:val="false"/>
          <w:iCs w:val="false"/>
          <w:color w:val="222222"/>
          <w:sz w:val="22"/>
          <w:szCs w:val="22"/>
        </w:rPr>
      </w:pPr>
      <w:r>
        <w:rPr>
          <w:b/>
          <w:bCs/>
          <w:i w:val="false"/>
          <w:iCs w:val="false"/>
          <w:color w:val="222222"/>
          <w:sz w:val="22"/>
          <w:szCs w:val="22"/>
        </w:rPr>
        <w:t>INCUMPLIMIENTOS LEVES</w:t>
      </w:r>
    </w:p>
    <w:p>
      <w:pPr>
        <w:pStyle w:val="Normal"/>
        <w:jc w:val="both"/>
        <w:rPr>
          <w:i w:val="false"/>
          <w:iCs w:val="false"/>
          <w:color w:val="222222"/>
          <w:sz w:val="22"/>
          <w:szCs w:val="22"/>
        </w:rPr>
      </w:pPr>
      <w:r>
        <w:rPr>
          <w:i w:val="false"/>
          <w:iCs w:val="false"/>
          <w:color w:val="222222"/>
          <w:sz w:val="22"/>
          <w:szCs w:val="22"/>
        </w:rPr>
      </w:r>
    </w:p>
    <w:p>
      <w:pPr>
        <w:pStyle w:val="Normal"/>
        <w:numPr>
          <w:ilvl w:val="0"/>
          <w:numId w:val="11"/>
        </w:numPr>
        <w:spacing w:before="0" w:after="200"/>
        <w:jc w:val="both"/>
        <w:rPr>
          <w:i w:val="false"/>
          <w:iCs w:val="false"/>
          <w:sz w:val="22"/>
          <w:szCs w:val="22"/>
        </w:rPr>
      </w:pPr>
      <w:r>
        <w:rPr>
          <w:i w:val="false"/>
          <w:iCs w:val="false"/>
          <w:sz w:val="22"/>
          <w:szCs w:val="22"/>
        </w:rPr>
        <w:t>Justificación defectuosa de las facturas no aportando toda la documentación justificativa de la prestación objeto del contrato.</w:t>
      </w:r>
    </w:p>
    <w:p>
      <w:pPr>
        <w:pStyle w:val="Normal"/>
        <w:jc w:val="both"/>
        <w:rPr>
          <w:i w:val="false"/>
          <w:iCs w:val="false"/>
          <w:sz w:val="22"/>
          <w:szCs w:val="22"/>
        </w:rPr>
      </w:pPr>
      <w:r>
        <w:rPr>
          <w:i w:val="false"/>
          <w:iCs w:val="false"/>
          <w:sz w:val="22"/>
          <w:szCs w:val="22"/>
        </w:rPr>
      </w:r>
    </w:p>
    <w:p>
      <w:pPr>
        <w:pStyle w:val="Normal"/>
        <w:jc w:val="both"/>
        <w:rPr>
          <w:b/>
          <w:bCs/>
          <w:i w:val="false"/>
          <w:iCs w:val="false"/>
          <w:sz w:val="22"/>
          <w:szCs w:val="22"/>
        </w:rPr>
      </w:pPr>
      <w:r>
        <w:rPr>
          <w:b/>
          <w:bCs/>
          <w:i w:val="false"/>
          <w:iCs w:val="false"/>
          <w:sz w:val="22"/>
          <w:szCs w:val="22"/>
        </w:rPr>
        <w:t>INCUMPLIMIENTOS GRAVES</w:t>
      </w:r>
    </w:p>
    <w:p>
      <w:pPr>
        <w:pStyle w:val="Normal"/>
        <w:jc w:val="both"/>
        <w:rPr>
          <w:i w:val="false"/>
          <w:iCs w:val="false"/>
          <w:sz w:val="22"/>
          <w:szCs w:val="22"/>
        </w:rPr>
      </w:pPr>
      <w:r>
        <w:rPr>
          <w:i w:val="false"/>
          <w:iCs w:val="false"/>
          <w:sz w:val="22"/>
          <w:szCs w:val="22"/>
        </w:rPr>
      </w:r>
    </w:p>
    <w:p>
      <w:pPr>
        <w:pStyle w:val="Normal"/>
        <w:numPr>
          <w:ilvl w:val="0"/>
          <w:numId w:val="10"/>
        </w:numPr>
        <w:jc w:val="both"/>
        <w:rPr>
          <w:i w:val="false"/>
          <w:iCs w:val="false"/>
          <w:sz w:val="22"/>
          <w:szCs w:val="22"/>
        </w:rPr>
      </w:pPr>
      <w:r>
        <w:rPr>
          <w:i w:val="false"/>
          <w:iCs w:val="false"/>
          <w:sz w:val="22"/>
          <w:szCs w:val="22"/>
        </w:rPr>
        <w:t>Incumplimiento por parte de la empresa contratista de los términos y condiciones indicadas en los pliegos de la presente licitación y/o en la oferta presentada.</w:t>
      </w:r>
    </w:p>
    <w:p>
      <w:pPr>
        <w:pStyle w:val="Normal"/>
        <w:numPr>
          <w:ilvl w:val="0"/>
          <w:numId w:val="10"/>
        </w:numPr>
        <w:jc w:val="both"/>
        <w:rPr>
          <w:i w:val="false"/>
          <w:iCs w:val="false"/>
          <w:sz w:val="22"/>
          <w:szCs w:val="22"/>
        </w:rPr>
      </w:pPr>
      <w:r>
        <w:rPr>
          <w:i w:val="false"/>
          <w:iCs w:val="false"/>
          <w:sz w:val="22"/>
          <w:szCs w:val="22"/>
        </w:rPr>
        <w:t>Incumplimiento de los plazos máximos indicados en los pliegos</w:t>
      </w:r>
      <w:r>
        <w:rPr>
          <w:i w:val="false"/>
          <w:iCs w:val="false"/>
          <w:color w:val="38761D"/>
          <w:sz w:val="22"/>
          <w:szCs w:val="22"/>
        </w:rPr>
        <w:t xml:space="preserve"> </w:t>
      </w:r>
      <w:r>
        <w:rPr>
          <w:i w:val="false"/>
          <w:iCs w:val="false"/>
          <w:sz w:val="22"/>
          <w:szCs w:val="22"/>
        </w:rPr>
        <w:t xml:space="preserve">o en la oferta presentada para la prestación objeto del contrato, en su caso. </w:t>
      </w:r>
    </w:p>
    <w:p>
      <w:pPr>
        <w:pStyle w:val="Normal"/>
        <w:numPr>
          <w:ilvl w:val="0"/>
          <w:numId w:val="10"/>
        </w:numPr>
        <w:jc w:val="both"/>
        <w:rPr>
          <w:i w:val="false"/>
          <w:iCs w:val="false"/>
          <w:sz w:val="22"/>
          <w:szCs w:val="22"/>
        </w:rPr>
      </w:pPr>
      <w:r>
        <w:rPr>
          <w:i w:val="false"/>
          <w:iCs w:val="false"/>
          <w:sz w:val="22"/>
          <w:szCs w:val="22"/>
        </w:rPr>
        <w:t>La no utilización de los medios humanos y/o materiales necesarios para la prestación objeto del contrato, así como como todos aquellos que hayan sido ofertados.</w:t>
      </w:r>
    </w:p>
    <w:p>
      <w:pPr>
        <w:pStyle w:val="Normal"/>
        <w:numPr>
          <w:ilvl w:val="0"/>
          <w:numId w:val="10"/>
        </w:numPr>
        <w:rPr>
          <w:i w:val="false"/>
          <w:iCs w:val="false"/>
          <w:sz w:val="22"/>
          <w:szCs w:val="22"/>
        </w:rPr>
      </w:pPr>
      <w:r>
        <w:rPr>
          <w:i w:val="false"/>
          <w:iCs w:val="false"/>
          <w:sz w:val="22"/>
          <w:szCs w:val="22"/>
        </w:rPr>
        <w:t>El incumplimiento de la condición especial de ejecución indicada para el contrato y/o del plazo establecido para ella.</w:t>
      </w:r>
    </w:p>
    <w:p>
      <w:pPr>
        <w:pStyle w:val="Normal"/>
        <w:numPr>
          <w:ilvl w:val="0"/>
          <w:numId w:val="10"/>
        </w:numPr>
        <w:jc w:val="both"/>
        <w:rPr>
          <w:i w:val="false"/>
          <w:iCs w:val="false"/>
          <w:sz w:val="22"/>
          <w:szCs w:val="22"/>
        </w:rPr>
      </w:pPr>
      <w:r>
        <w:rPr>
          <w:i w:val="false"/>
          <w:iCs w:val="false"/>
          <w:sz w:val="22"/>
          <w:szCs w:val="22"/>
        </w:rPr>
        <w:t>Subcontratación, cuando ésta se permita, de la prestación objeto del contrato, o parte de la prestación, sin la comunicación previa a ASEPEYO.</w:t>
      </w:r>
    </w:p>
    <w:p>
      <w:pPr>
        <w:pStyle w:val="Normal"/>
        <w:numPr>
          <w:ilvl w:val="0"/>
          <w:numId w:val="10"/>
        </w:numPr>
        <w:spacing w:before="0" w:after="200"/>
        <w:jc w:val="both"/>
        <w:rPr>
          <w:i w:val="false"/>
          <w:iCs w:val="false"/>
          <w:sz w:val="22"/>
          <w:szCs w:val="22"/>
        </w:rPr>
      </w:pPr>
      <w:r>
        <w:rPr>
          <w:i w:val="false"/>
          <w:iCs w:val="false"/>
          <w:sz w:val="22"/>
          <w:szCs w:val="22"/>
        </w:rPr>
        <w:t>A partir del cuarto incumplimiento leve, se considerará un incumplimiento grave.</w:t>
      </w:r>
    </w:p>
    <w:p>
      <w:pPr>
        <w:pStyle w:val="Normal"/>
        <w:jc w:val="both"/>
        <w:rPr>
          <w:b/>
          <w:bCs/>
          <w:i w:val="false"/>
          <w:iCs w:val="false"/>
          <w:sz w:val="22"/>
          <w:szCs w:val="22"/>
        </w:rPr>
      </w:pPr>
      <w:r>
        <w:rPr>
          <w:b/>
          <w:bCs/>
          <w:i w:val="false"/>
          <w:iCs w:val="false"/>
          <w:sz w:val="22"/>
          <w:szCs w:val="22"/>
        </w:rPr>
      </w:r>
    </w:p>
    <w:p>
      <w:pPr>
        <w:pStyle w:val="Normal"/>
        <w:jc w:val="both"/>
        <w:rPr>
          <w:b/>
          <w:bCs/>
          <w:i w:val="false"/>
          <w:iCs w:val="false"/>
          <w:sz w:val="22"/>
          <w:szCs w:val="22"/>
        </w:rPr>
      </w:pPr>
      <w:r>
        <w:rPr>
          <w:b/>
          <w:bCs/>
          <w:i w:val="false"/>
          <w:iCs w:val="false"/>
          <w:sz w:val="22"/>
          <w:szCs w:val="22"/>
        </w:rPr>
        <w:t>INCUMPLIMIENTOS MUY GRAVES</w:t>
      </w:r>
    </w:p>
    <w:p>
      <w:pPr>
        <w:pStyle w:val="Normal"/>
        <w:jc w:val="both"/>
        <w:rPr>
          <w:i w:val="false"/>
          <w:iCs w:val="false"/>
          <w:sz w:val="22"/>
          <w:szCs w:val="22"/>
        </w:rPr>
      </w:pPr>
      <w:r>
        <w:rPr>
          <w:i w:val="false"/>
          <w:iCs w:val="false"/>
          <w:sz w:val="22"/>
          <w:szCs w:val="22"/>
        </w:rPr>
      </w:r>
    </w:p>
    <w:p>
      <w:pPr>
        <w:pStyle w:val="Normal"/>
        <w:numPr>
          <w:ilvl w:val="0"/>
          <w:numId w:val="2"/>
        </w:numPr>
        <w:spacing w:before="0" w:after="200"/>
        <w:jc w:val="both"/>
        <w:rPr>
          <w:i w:val="false"/>
          <w:iCs w:val="false"/>
          <w:sz w:val="22"/>
          <w:szCs w:val="22"/>
        </w:rPr>
      </w:pPr>
      <w:r>
        <w:rPr>
          <w:i w:val="false"/>
          <w:iCs w:val="false"/>
          <w:sz w:val="22"/>
          <w:szCs w:val="22"/>
        </w:rPr>
        <w:t>La no realización de la Coordinación de Actividades Empresariales (CAE), en su caso, mediante el sistema y/o procedimiento establecido por ASEPEYO.</w:t>
      </w:r>
    </w:p>
    <w:p>
      <w:pPr>
        <w:pStyle w:val="Normal"/>
        <w:numPr>
          <w:ilvl w:val="0"/>
          <w:numId w:val="2"/>
        </w:numPr>
        <w:jc w:val="both"/>
        <w:rPr>
          <w:i w:val="false"/>
          <w:iCs w:val="false"/>
          <w:sz w:val="22"/>
          <w:szCs w:val="22"/>
        </w:rPr>
      </w:pPr>
      <w:r>
        <w:rPr>
          <w:i w:val="false"/>
          <w:iCs w:val="false"/>
          <w:sz w:val="22"/>
          <w:szCs w:val="22"/>
        </w:rPr>
        <w:t>La no observancia de las condiciones de seguridad, salud laboral y/o medioambientales, así como cualquier otra normativa de carácter estatal, autonómica y municipal, que pudiera ser de aplicación a la prestación objeto del contrato.</w:t>
      </w:r>
    </w:p>
    <w:p>
      <w:pPr>
        <w:pStyle w:val="Normal"/>
        <w:numPr>
          <w:ilvl w:val="0"/>
          <w:numId w:val="2"/>
        </w:numPr>
        <w:jc w:val="both"/>
        <w:rPr>
          <w:i w:val="false"/>
          <w:iCs w:val="false"/>
          <w:sz w:val="22"/>
          <w:szCs w:val="22"/>
        </w:rPr>
      </w:pPr>
      <w:r>
        <w:rPr>
          <w:i w:val="false"/>
          <w:iCs w:val="false"/>
          <w:color w:val="222222"/>
          <w:sz w:val="22"/>
          <w:szCs w:val="22"/>
        </w:rPr>
        <w:t>Falseamiento de cualquier información o documentación facilitada a ASEPEYO y/o ocultación de información.</w:t>
      </w:r>
    </w:p>
    <w:p>
      <w:pPr>
        <w:pStyle w:val="Normal"/>
        <w:numPr>
          <w:ilvl w:val="0"/>
          <w:numId w:val="2"/>
        </w:numPr>
        <w:spacing w:before="0" w:after="200"/>
        <w:jc w:val="both"/>
        <w:rPr>
          <w:i w:val="false"/>
          <w:iCs w:val="false"/>
          <w:color w:val="222222"/>
          <w:sz w:val="22"/>
          <w:szCs w:val="22"/>
        </w:rPr>
      </w:pPr>
      <w:r>
        <w:rPr>
          <w:i w:val="false"/>
          <w:iCs w:val="false"/>
          <w:sz w:val="22"/>
          <w:szCs w:val="22"/>
        </w:rPr>
        <w:t xml:space="preserve">A partir del tercer incumplimiento grave, se considerará un incumplimiento muy grave. </w:t>
      </w:r>
    </w:p>
    <w:p>
      <w:pPr>
        <w:pStyle w:val="Normal"/>
        <w:spacing w:before="0" w:after="200"/>
        <w:ind w:start="720"/>
        <w:jc w:val="both"/>
        <w:rPr>
          <w:i w:val="false"/>
          <w:iCs w:val="false"/>
          <w:sz w:val="22"/>
          <w:szCs w:val="22"/>
        </w:rPr>
      </w:pPr>
      <w:r>
        <w:rPr>
          <w:i w:val="false"/>
          <w:iCs w:val="false"/>
          <w:sz w:val="22"/>
          <w:szCs w:val="22"/>
        </w:rPr>
      </w:r>
    </w:p>
    <w:p>
      <w:pPr>
        <w:pStyle w:val="Normal"/>
        <w:jc w:val="both"/>
        <w:rPr>
          <w:i w:val="false"/>
          <w:iCs w:val="false"/>
          <w:color w:val="222222"/>
          <w:sz w:val="22"/>
          <w:szCs w:val="22"/>
        </w:rPr>
      </w:pPr>
      <w:r>
        <w:rPr>
          <w:i w:val="false"/>
          <w:iCs w:val="false"/>
          <w:color w:val="222222"/>
          <w:sz w:val="22"/>
          <w:szCs w:val="22"/>
        </w:rPr>
        <w:t>Las penalidades a aplicar en función de la falta cometida serán:</w:t>
      </w:r>
    </w:p>
    <w:p>
      <w:pPr>
        <w:pStyle w:val="Normal"/>
        <w:jc w:val="both"/>
        <w:rPr>
          <w:i w:val="false"/>
          <w:iCs w:val="false"/>
          <w:color w:val="222222"/>
          <w:sz w:val="22"/>
          <w:szCs w:val="22"/>
        </w:rPr>
      </w:pPr>
      <w:r>
        <w:rPr>
          <w:i w:val="false"/>
          <w:iCs w:val="false"/>
          <w:color w:val="222222"/>
          <w:sz w:val="22"/>
          <w:szCs w:val="22"/>
        </w:rPr>
      </w:r>
    </w:p>
    <w:p>
      <w:pPr>
        <w:pStyle w:val="Normal"/>
        <w:numPr>
          <w:ilvl w:val="0"/>
          <w:numId w:val="13"/>
        </w:numPr>
        <w:spacing w:before="0" w:after="200"/>
        <w:jc w:val="both"/>
        <w:rPr>
          <w:rFonts w:eastAsia="Arial"/>
          <w:i w:val="false"/>
          <w:iCs w:val="false"/>
          <w:sz w:val="22"/>
          <w:szCs w:val="22"/>
        </w:rPr>
      </w:pPr>
      <w:r>
        <w:rPr>
          <w:b/>
          <w:bCs/>
          <w:i w:val="false"/>
          <w:iCs w:val="false"/>
          <w:sz w:val="22"/>
          <w:szCs w:val="22"/>
          <w:u w:val="single"/>
        </w:rPr>
        <w:t>Penalización por incumplimiento leve</w:t>
      </w:r>
      <w:r>
        <w:rPr>
          <w:i w:val="false"/>
          <w:iCs w:val="false"/>
          <w:sz w:val="22"/>
          <w:szCs w:val="22"/>
        </w:rPr>
        <w:t>. ASEPEYO penalizará a la empresa contratista que incurra en cualquiera de los incumplimientos leves con una penalización por importe equivalente al</w:t>
      </w:r>
      <w:r>
        <w:rPr>
          <w:b/>
          <w:bCs/>
          <w:i w:val="false"/>
          <w:iCs w:val="false"/>
          <w:sz w:val="22"/>
          <w:szCs w:val="22"/>
        </w:rPr>
        <w:t xml:space="preserve"> 1,00% del importe de adjudicación del contrato</w:t>
      </w:r>
      <w:r>
        <w:rPr>
          <w:i w:val="false"/>
          <w:iCs w:val="false"/>
          <w:sz w:val="22"/>
          <w:szCs w:val="22"/>
        </w:rPr>
        <w:t>. En cualquier caso, el</w:t>
      </w:r>
      <w:r>
        <w:rPr>
          <w:b/>
          <w:bCs/>
          <w:i w:val="false"/>
          <w:iCs w:val="false"/>
          <w:sz w:val="22"/>
          <w:szCs w:val="22"/>
        </w:rPr>
        <w:t xml:space="preserve"> importe mínimo de dicha penalización será de 50,00 euros</w:t>
      </w:r>
      <w:r>
        <w:rPr>
          <w:i w:val="false"/>
          <w:iCs w:val="false"/>
          <w:sz w:val="22"/>
          <w:szCs w:val="22"/>
        </w:rPr>
        <w:t xml:space="preserve"> (impuestos excluidos). </w:t>
      </w:r>
    </w:p>
    <w:p>
      <w:pPr>
        <w:pStyle w:val="Normal"/>
        <w:numPr>
          <w:ilvl w:val="0"/>
          <w:numId w:val="14"/>
        </w:numPr>
        <w:spacing w:before="0" w:after="200"/>
        <w:jc w:val="both"/>
        <w:rPr>
          <w:b/>
          <w:bCs/>
          <w:i w:val="false"/>
          <w:sz w:val="22"/>
          <w:szCs w:val="22"/>
        </w:rPr>
      </w:pPr>
      <w:r>
        <w:rPr>
          <w:b/>
          <w:bCs/>
          <w:i w:val="false"/>
          <w:sz w:val="22"/>
          <w:szCs w:val="22"/>
          <w:u w:val="single"/>
        </w:rPr>
        <w:t>Penalización por incumplimiento grave</w:t>
      </w:r>
      <w:r>
        <w:rPr>
          <w:b/>
          <w:bCs/>
          <w:i w:val="false"/>
          <w:sz w:val="22"/>
          <w:szCs w:val="22"/>
        </w:rPr>
        <w:t xml:space="preserve">.  </w:t>
      </w:r>
      <w:r>
        <w:rPr>
          <w:bCs/>
          <w:i w:val="false"/>
          <w:sz w:val="22"/>
          <w:szCs w:val="22"/>
        </w:rPr>
        <w:t xml:space="preserve">ASEPEYO penalizará a la empresa contratista que incurra en cualquiera de los incumplimientos graves con una penalización de importe equivalente al </w:t>
      </w:r>
      <w:r>
        <w:rPr>
          <w:b/>
          <w:bCs/>
          <w:i w:val="false"/>
          <w:iCs w:val="false"/>
          <w:sz w:val="22"/>
          <w:szCs w:val="22"/>
        </w:rPr>
        <w:t>2,00</w:t>
      </w:r>
      <w:r>
        <w:rPr>
          <w:b/>
          <w:bCs/>
          <w:i w:val="false"/>
          <w:sz w:val="22"/>
          <w:szCs w:val="22"/>
        </w:rPr>
        <w:t xml:space="preserve">% del importe de adjudicación del contrato. En cualquier caso, el importe mínimo de dicha penalización será de </w:t>
      </w:r>
      <w:r>
        <w:rPr>
          <w:b/>
          <w:bCs/>
          <w:i w:val="false"/>
          <w:iCs w:val="false"/>
          <w:sz w:val="22"/>
          <w:szCs w:val="22"/>
        </w:rPr>
        <w:t>100,00</w:t>
      </w:r>
      <w:r>
        <w:rPr>
          <w:b/>
          <w:bCs/>
          <w:i w:val="false"/>
          <w:sz w:val="22"/>
          <w:szCs w:val="22"/>
        </w:rPr>
        <w:t xml:space="preserve"> euros (impuestos excluidos). </w:t>
      </w:r>
    </w:p>
    <w:p>
      <w:pPr>
        <w:pStyle w:val="Normal"/>
        <w:numPr>
          <w:ilvl w:val="0"/>
          <w:numId w:val="14"/>
        </w:numPr>
        <w:spacing w:before="0" w:after="200"/>
        <w:jc w:val="both"/>
        <w:rPr>
          <w:rFonts w:eastAsia="Arial"/>
          <w:i w:val="false"/>
          <w:iCs w:val="false"/>
          <w:sz w:val="22"/>
          <w:szCs w:val="22"/>
        </w:rPr>
      </w:pPr>
      <w:r>
        <w:rPr>
          <w:b/>
          <w:bCs/>
          <w:i w:val="false"/>
          <w:iCs w:val="false"/>
          <w:sz w:val="22"/>
          <w:szCs w:val="22"/>
          <w:u w:val="single"/>
        </w:rPr>
        <w:t>Penalización por incumplimiento muy grave</w:t>
      </w:r>
      <w:r>
        <w:rPr>
          <w:i w:val="false"/>
          <w:iCs w:val="false"/>
          <w:sz w:val="22"/>
          <w:szCs w:val="22"/>
        </w:rPr>
        <w:t>.  ASEPEYO penalizará a la empresa contratista que incurra en cualquiera de los incumplimientos muy graves con una penalización de importe equivalente al</w:t>
      </w:r>
      <w:r>
        <w:rPr>
          <w:b/>
          <w:bCs/>
          <w:i w:val="false"/>
          <w:iCs w:val="false"/>
          <w:sz w:val="22"/>
          <w:szCs w:val="22"/>
        </w:rPr>
        <w:t xml:space="preserve"> 3,00% del importe de adjudicación del contrato</w:t>
      </w:r>
      <w:r>
        <w:rPr>
          <w:i w:val="false"/>
          <w:iCs w:val="false"/>
          <w:sz w:val="22"/>
          <w:szCs w:val="22"/>
        </w:rPr>
        <w:t>. En cualquier caso, el</w:t>
      </w:r>
      <w:r>
        <w:rPr>
          <w:b/>
          <w:bCs/>
          <w:i w:val="false"/>
          <w:iCs w:val="false"/>
          <w:sz w:val="22"/>
          <w:szCs w:val="22"/>
        </w:rPr>
        <w:t xml:space="preserve"> importe mínimo de dicha penalización será de 300,00 euros</w:t>
      </w:r>
      <w:r>
        <w:rPr>
          <w:i w:val="false"/>
          <w:iCs w:val="false"/>
          <w:sz w:val="22"/>
          <w:szCs w:val="22"/>
        </w:rPr>
        <w:t xml:space="preserve"> (impuestos excluidos). </w:t>
      </w:r>
    </w:p>
    <w:p>
      <w:pPr>
        <w:pStyle w:val="Normal"/>
        <w:spacing w:before="0" w:after="200"/>
        <w:ind w:start="720"/>
        <w:jc w:val="both"/>
        <w:rPr>
          <w:i w:val="false"/>
          <w:iCs w:val="false"/>
          <w:sz w:val="22"/>
          <w:szCs w:val="22"/>
        </w:rPr>
      </w:pPr>
      <w:r>
        <w:rPr>
          <w:i w:val="false"/>
          <w:iCs w:val="false"/>
          <w:sz w:val="22"/>
          <w:szCs w:val="22"/>
        </w:rPr>
      </w:r>
    </w:p>
    <w:p>
      <w:pPr>
        <w:pStyle w:val="Normal"/>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before="0" w:after="200"/>
        <w:ind w:start="425"/>
        <w:jc w:val="both"/>
        <w:rPr>
          <w:i w:val="false"/>
          <w:iCs w:val="false"/>
          <w:color w:val="222222"/>
          <w:sz w:val="22"/>
          <w:szCs w:val="22"/>
        </w:rPr>
      </w:pPr>
      <w:r>
        <w:rPr>
          <w:i w:val="false"/>
          <w:iCs w:val="false"/>
          <w:color w:val="222222"/>
          <w:sz w:val="22"/>
          <w:szCs w:val="22"/>
        </w:rPr>
      </w:r>
    </w:p>
    <w:p>
      <w:pPr>
        <w:pStyle w:val="Normal"/>
        <w:spacing w:lineRule="auto" w:line="276"/>
        <w:rPr>
          <w:b/>
          <w:bCs/>
          <w:i w:val="false"/>
          <w:iCs w:val="false"/>
          <w:sz w:val="18"/>
          <w:szCs w:val="18"/>
        </w:rPr>
      </w:pPr>
      <w:r>
        <w:rPr>
          <w:i w:val="false"/>
          <w:iCs w:val="false"/>
          <w:color w:val="666666"/>
          <w:sz w:val="18"/>
          <w:szCs w:val="18"/>
        </w:rPr>
        <w:t>NOTA: La cuantía de cada penalización no superará el diez por ciento del precio del contrato, IVA excluido, ni el total de las penalizaciones el cincuenta por ciento.</w:t>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p>
      <w:pPr>
        <w:pStyle w:val="Normal"/>
        <w:rPr>
          <w:b/>
          <w:bCs/>
          <w:i w:val="false"/>
          <w:iCs w:val="false"/>
          <w:sz w:val="18"/>
          <w:szCs w:val="18"/>
        </w:rPr>
      </w:pPr>
      <w:r>
        <w:rPr>
          <w:b/>
          <w:bCs/>
          <w:i w:val="false"/>
          <w:iCs w:val="false"/>
          <w:sz w:val="18"/>
          <w:szCs w:val="18"/>
        </w:rPr>
      </w:r>
    </w:p>
    <w:tbl>
      <w:tblPr>
        <w:tblStyle w:val="afffffffffff1"/>
        <w:tblW w:w="9300" w:type="dxa"/>
        <w:jc w:val="start"/>
        <w:tblInd w:w="-174" w:type="dxa"/>
        <w:tblLayout w:type="fixed"/>
        <w:tblCellMar>
          <w:top w:w="0" w:type="dxa"/>
          <w:start w:w="108" w:type="dxa"/>
          <w:bottom w:w="0" w:type="dxa"/>
          <w:end w:w="108" w:type="dxa"/>
        </w:tblCellMar>
        <w:tblLook w:val="0000" w:firstRow="0" w:noVBand="0" w:lastRow="0" w:firstColumn="0" w:lastColumn="0" w:noHBand="0"/>
      </w:tblPr>
      <w:tblGrid>
        <w:gridCol w:w="9300"/>
      </w:tblGrid>
      <w:tr>
        <w:trPr>
          <w:trHeight w:val="536" w:hRule="atLeast"/>
        </w:trPr>
        <w:tc>
          <w:tcPr>
            <w:tcW w:w="9300" w:type="dxa"/>
            <w:tcBorders/>
            <w:shd w:color="auto" w:fill="00B0F0" w:val="clear"/>
          </w:tcPr>
          <w:p>
            <w:pPr>
              <w:pStyle w:val="Normal"/>
              <w:pBdr/>
              <w:jc w:val="center"/>
              <w:rPr>
                <w:b/>
                <w:bCs/>
                <w:i w:val="false"/>
                <w:iCs w:val="false"/>
                <w:color w:val="FFFFFF"/>
                <w:sz w:val="24"/>
                <w:szCs w:val="24"/>
              </w:rPr>
            </w:pPr>
            <w:bookmarkStart w:id="13" w:name="bookmark=id.3rdcrjn"/>
            <w:bookmarkEnd w:id="13"/>
            <w:r>
              <w:rPr>
                <w:b/>
                <w:bCs/>
                <w:i w:val="false"/>
                <w:iCs w:val="false"/>
                <w:color w:val="FFFFFF"/>
                <w:sz w:val="24"/>
                <w:szCs w:val="24"/>
              </w:rPr>
              <w:t>Anexo IX</w:t>
            </w:r>
          </w:p>
          <w:p>
            <w:pPr>
              <w:pStyle w:val="Normal"/>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Modificaciones contractuales previstas</w:t>
            </w:r>
          </w:p>
        </w:tc>
      </w:tr>
    </w:tbl>
    <w:p>
      <w:pPr>
        <w:pStyle w:val="Normal"/>
        <w:pBdr/>
        <w:jc w:val="both"/>
        <w:rPr>
          <w:b/>
          <w:bCs/>
          <w:i w:val="false"/>
          <w:iCs w:val="false"/>
          <w:color w:val="000080"/>
          <w:sz w:val="22"/>
          <w:szCs w:val="22"/>
        </w:rPr>
      </w:pPr>
      <w:r>
        <w:rPr>
          <w:b/>
          <w:bCs/>
          <w:i w:val="false"/>
          <w:iCs w:val="false"/>
          <w:color w:val="000080"/>
          <w:sz w:val="22"/>
          <w:szCs w:val="22"/>
        </w:rPr>
      </w:r>
    </w:p>
    <w:p>
      <w:pPr>
        <w:pStyle w:val="Normal"/>
        <w:rPr>
          <w:b/>
          <w:bCs/>
          <w:i w:val="false"/>
          <w:iCs w:val="false"/>
          <w:color w:val="000080"/>
          <w:sz w:val="18"/>
          <w:szCs w:val="18"/>
        </w:rPr>
      </w:pPr>
      <w:r>
        <w:rPr>
          <w:b/>
          <w:bCs/>
          <w:i w:val="false"/>
          <w:iCs w:val="false"/>
          <w:color w:val="000080"/>
          <w:sz w:val="18"/>
          <w:szCs w:val="18"/>
        </w:rPr>
      </w:r>
    </w:p>
    <w:p>
      <w:pPr>
        <w:pStyle w:val="Normal"/>
        <w:rPr>
          <w:sz w:val="22"/>
          <w:szCs w:val="22"/>
        </w:rPr>
      </w:pPr>
      <w:r>
        <w:rPr>
          <w:b/>
          <w:bCs/>
          <w:i w:val="false"/>
          <w:iCs w:val="false"/>
          <w:sz w:val="22"/>
          <w:szCs w:val="22"/>
        </w:rPr>
        <w:t xml:space="preserve">1. Causas generales. </w:t>
      </w:r>
    </w:p>
    <w:p>
      <w:pPr>
        <w:pStyle w:val="Normal"/>
        <w:jc w:val="both"/>
        <w:rPr>
          <w:b/>
          <w:bCs/>
          <w:i w:val="false"/>
          <w:iCs w:val="false"/>
        </w:rPr>
      </w:pPr>
      <w:r>
        <w:rPr>
          <w:b/>
          <w:bCs/>
          <w:i w:val="false"/>
          <w:iCs w:val="false"/>
        </w:rPr>
      </w:r>
    </w:p>
    <w:p>
      <w:pPr>
        <w:pStyle w:val="Normal"/>
        <w:jc w:val="both"/>
        <w:rPr>
          <w:i w:val="false"/>
          <w:iCs w:val="false"/>
          <w:sz w:val="22"/>
          <w:szCs w:val="22"/>
        </w:rPr>
      </w:pPr>
      <w:r>
        <w:rPr>
          <w:i w:val="false"/>
          <w:iCs w:val="false"/>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pPr>
        <w:pStyle w:val="Normal"/>
        <w:jc w:val="both"/>
        <w:rPr>
          <w:i w:val="false"/>
          <w:iCs w:val="false"/>
          <w:sz w:val="22"/>
          <w:szCs w:val="22"/>
        </w:rPr>
      </w:pPr>
      <w:r>
        <w:rPr/>
      </w:r>
    </w:p>
    <w:p>
      <w:pPr>
        <w:pStyle w:val="Normal"/>
        <w:pBdr/>
        <w:jc w:val="both"/>
        <w:rPr>
          <w:i w:val="false"/>
          <w:iCs w:val="false"/>
          <w:color w:val="000000"/>
          <w:sz w:val="22"/>
          <w:szCs w:val="22"/>
        </w:rPr>
      </w:pPr>
      <w:r>
        <w:rPr>
          <w:i w:val="false"/>
          <w:iCs w:val="false"/>
          <w:color w:val="000000"/>
          <w:sz w:val="22"/>
          <w:szCs w:val="22"/>
        </w:rPr>
      </w:r>
    </w:p>
    <w:p>
      <w:pPr>
        <w:pStyle w:val="Normal"/>
        <w:rPr>
          <w:b/>
          <w:bCs/>
          <w:i w:val="false"/>
          <w:iCs w:val="false"/>
          <w:sz w:val="22"/>
          <w:szCs w:val="22"/>
        </w:rPr>
      </w:pPr>
      <w:r>
        <w:rPr>
          <w:b/>
          <w:bCs/>
          <w:i w:val="false"/>
          <w:iCs w:val="false"/>
          <w:sz w:val="22"/>
          <w:szCs w:val="22"/>
        </w:rPr>
        <w:t>2. Otras modificaciones previstas</w:t>
      </w:r>
    </w:p>
    <w:p>
      <w:pPr>
        <w:pStyle w:val="Normal"/>
        <w:rPr>
          <w:b/>
          <w:bCs/>
          <w:i w:val="false"/>
          <w:iCs w:val="false"/>
          <w:sz w:val="22"/>
          <w:szCs w:val="22"/>
        </w:rPr>
      </w:pPr>
      <w:r>
        <w:rPr>
          <w:b/>
          <w:bCs/>
          <w:i w:val="false"/>
          <w:iCs w:val="false"/>
          <w:sz w:val="22"/>
          <w:szCs w:val="22"/>
        </w:rPr>
      </w:r>
    </w:p>
    <w:p>
      <w:pPr>
        <w:pStyle w:val="Normal"/>
        <w:jc w:val="both"/>
        <w:rPr>
          <w:i w:val="false"/>
          <w:iCs w:val="false"/>
          <w:sz w:val="22"/>
          <w:szCs w:val="22"/>
        </w:rPr>
      </w:pPr>
      <w:r>
        <w:rPr>
          <w:i w:val="false"/>
          <w:iCs w:val="false"/>
          <w:sz w:val="22"/>
          <w:szCs w:val="22"/>
        </w:rPr>
        <w:t>No se prevén.</w:t>
      </w:r>
    </w:p>
    <w:p>
      <w:pPr>
        <w:pStyle w:val="Normal"/>
        <w:jc w:val="both"/>
        <w:rPr>
          <w:i w:val="false"/>
          <w:iCs w:val="false"/>
          <w:sz w:val="22"/>
          <w:szCs w:val="22"/>
        </w:rPr>
      </w:pPr>
      <w:r>
        <w:rPr>
          <w:i w:val="false"/>
          <w:iCs w:val="false"/>
          <w:sz w:val="22"/>
          <w:szCs w:val="22"/>
        </w:rPr>
        <w:t xml:space="preserve"> </w:t>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i w:val="false"/>
          <w:iCs w:val="false"/>
          <w:sz w:val="22"/>
          <w:szCs w:val="22"/>
        </w:rPr>
      </w:pPr>
      <w:r>
        <w:rPr>
          <w:i w:val="false"/>
          <w:iCs w:val="false"/>
          <w:sz w:val="22"/>
          <w:szCs w:val="22"/>
        </w:rPr>
      </w:r>
    </w:p>
    <w:p>
      <w:pPr>
        <w:pStyle w:val="Normal"/>
        <w:jc w:val="both"/>
        <w:rPr>
          <w:b/>
          <w:bCs/>
          <w:i w:val="false"/>
          <w:iCs w:val="false"/>
          <w:sz w:val="18"/>
          <w:szCs w:val="18"/>
        </w:rPr>
      </w:pPr>
      <w:r>
        <w:rPr>
          <w:b/>
          <w:bCs/>
          <w:i w:val="false"/>
          <w:iCs w:val="false"/>
          <w:sz w:val="18"/>
          <w:szCs w:val="18"/>
        </w:rPr>
      </w:r>
    </w:p>
    <w:p>
      <w:pPr>
        <w:pStyle w:val="Normal"/>
        <w:ind w:hanging="2"/>
        <w:jc w:val="both"/>
        <w:rPr>
          <w:b/>
          <w:bCs/>
          <w:i w:val="false"/>
          <w:iCs w:val="false"/>
          <w:sz w:val="18"/>
          <w:szCs w:val="18"/>
        </w:rPr>
      </w:pPr>
      <w:r>
        <w:rPr>
          <w:b/>
          <w:bCs/>
          <w:i w:val="false"/>
          <w:iCs w:val="false"/>
          <w:sz w:val="18"/>
          <w:szCs w:val="18"/>
        </w:rPr>
      </w:r>
    </w:p>
    <w:p>
      <w:pPr>
        <w:pStyle w:val="Normal"/>
        <w:ind w:hanging="2"/>
        <w:jc w:val="both"/>
        <w:rPr>
          <w:i w:val="false"/>
          <w:iCs w:val="false"/>
          <w:sz w:val="22"/>
          <w:szCs w:val="22"/>
        </w:rPr>
      </w:pPr>
      <w:r>
        <w:rPr>
          <w:i w:val="false"/>
          <w:iCs w:val="false"/>
          <w:sz w:val="22"/>
          <w:szCs w:val="22"/>
        </w:rPr>
      </w:r>
    </w:p>
    <w:p>
      <w:pPr>
        <w:pStyle w:val="Normal"/>
        <w:ind w:hanging="2"/>
        <w:jc w:val="both"/>
        <w:rPr/>
      </w:pPr>
      <w:r>
        <w:rPr/>
      </w:r>
    </w:p>
    <w:tbl>
      <w:tblPr>
        <w:tblStyle w:val="afffffffffff2"/>
        <w:tblW w:w="9540" w:type="dxa"/>
        <w:jc w:val="start"/>
        <w:tblInd w:w="-324" w:type="dxa"/>
        <w:tblLayout w:type="fixed"/>
        <w:tblCellMar>
          <w:top w:w="0" w:type="dxa"/>
          <w:start w:w="108" w:type="dxa"/>
          <w:bottom w:w="0" w:type="dxa"/>
          <w:end w:w="108" w:type="dxa"/>
        </w:tblCellMar>
        <w:tblLook w:val="0000" w:firstRow="0" w:noVBand="0" w:lastRow="0" w:firstColumn="0" w:lastColumn="0" w:noHBand="0"/>
      </w:tblPr>
      <w:tblGrid>
        <w:gridCol w:w="9540"/>
      </w:tblGrid>
      <w:tr>
        <w:trPr>
          <w:trHeight w:val="348" w:hRule="atLeast"/>
        </w:trPr>
        <w:tc>
          <w:tcPr>
            <w:tcW w:w="9540" w:type="dxa"/>
            <w:tcBorders/>
            <w:shd w:color="auto" w:fill="00B0F0" w:val="clear"/>
          </w:tcPr>
          <w:p>
            <w:pPr>
              <w:pStyle w:val="Normal"/>
              <w:pBdr/>
              <w:jc w:val="center"/>
              <w:rPr>
                <w:b/>
                <w:bCs/>
                <w:i w:val="false"/>
                <w:iCs w:val="false"/>
                <w:color w:val="FFFFFF"/>
                <w:sz w:val="24"/>
                <w:szCs w:val="24"/>
              </w:rPr>
            </w:pPr>
            <w:bookmarkStart w:id="14" w:name="bookmark=id.26in1rg"/>
            <w:bookmarkEnd w:id="14"/>
            <w:r>
              <w:rPr>
                <w:b/>
                <w:bCs/>
                <w:i w:val="false"/>
                <w:iCs w:val="false"/>
                <w:color w:val="FFFFFF"/>
                <w:sz w:val="24"/>
                <w:szCs w:val="24"/>
              </w:rPr>
              <w:t>Anexo X</w:t>
            </w:r>
          </w:p>
          <w:p>
            <w:pPr>
              <w:pStyle w:val="Normal"/>
              <w:pBdr/>
              <w:jc w:val="center"/>
              <w:rPr>
                <w:b/>
                <w:bCs/>
                <w:i w:val="false"/>
                <w:iCs w:val="false"/>
                <w:color w:val="FFFFFF"/>
                <w:sz w:val="24"/>
                <w:szCs w:val="24"/>
              </w:rPr>
            </w:pPr>
            <w:r>
              <w:rPr>
                <w:b/>
                <w:bCs/>
                <w:i w:val="false"/>
                <w:iCs w:val="false"/>
                <w:color w:val="FFFFFF"/>
                <w:sz w:val="24"/>
                <w:szCs w:val="24"/>
              </w:rPr>
              <w:t>Cláusulas específicas de resolución contractual.</w:t>
            </w:r>
          </w:p>
        </w:tc>
      </w:tr>
    </w:tbl>
    <w:p>
      <w:pPr>
        <w:pStyle w:val="Normal"/>
        <w:pBdr/>
        <w:jc w:val="both"/>
        <w:rPr>
          <w:b/>
          <w:bCs/>
          <w:i w:val="false"/>
          <w:iCs w:val="false"/>
          <w:color w:val="000080"/>
          <w:sz w:val="22"/>
          <w:szCs w:val="22"/>
        </w:rPr>
      </w:pPr>
      <w:r>
        <w:rPr>
          <w:b/>
          <w:bCs/>
          <w:i w:val="false"/>
          <w:iCs w:val="false"/>
          <w:color w:val="000080"/>
          <w:sz w:val="22"/>
          <w:szCs w:val="22"/>
        </w:rPr>
      </w:r>
    </w:p>
    <w:p>
      <w:pPr>
        <w:pStyle w:val="Normal"/>
        <w:pBdr/>
        <w:ind w:start="-141"/>
        <w:jc w:val="both"/>
        <w:rPr>
          <w:b/>
          <w:bCs/>
          <w:i w:val="false"/>
          <w:iCs w:val="false"/>
          <w:color w:val="000000"/>
          <w:sz w:val="22"/>
          <w:szCs w:val="22"/>
        </w:rPr>
      </w:pPr>
      <w:r>
        <w:rPr>
          <w:b/>
          <w:bCs/>
          <w:i w:val="false"/>
          <w:iCs w:val="false"/>
          <w:color w:val="000000"/>
          <w:sz w:val="22"/>
          <w:szCs w:val="22"/>
        </w:rPr>
      </w:r>
    </w:p>
    <w:p>
      <w:pPr>
        <w:pStyle w:val="Normal"/>
        <w:pBdr/>
        <w:ind w:start="-141" w:end="4"/>
        <w:jc w:val="both"/>
        <w:rPr>
          <w:i w:val="false"/>
          <w:iCs w:val="false"/>
          <w:color w:val="000000"/>
          <w:sz w:val="22"/>
          <w:szCs w:val="22"/>
        </w:rPr>
      </w:pPr>
      <w:r>
        <w:rPr>
          <w:i w:val="false"/>
          <w:iCs w:val="false"/>
          <w:color w:val="000000"/>
          <w:sz w:val="22"/>
          <w:szCs w:val="22"/>
        </w:rPr>
        <w:t xml:space="preserve">Además de las previstas en la cláusula 27 del pliego de cláusulas administrativas particulares, se prevén las siguientes causas específicas de resolución contractual: </w:t>
      </w:r>
    </w:p>
    <w:p>
      <w:pPr>
        <w:pStyle w:val="Normal"/>
        <w:pBdr/>
        <w:ind w:start="-141" w:end="4"/>
        <w:jc w:val="both"/>
        <w:rPr>
          <w:b/>
          <w:bCs/>
          <w:i w:val="false"/>
          <w:iCs w:val="false"/>
          <w:color w:val="000000"/>
          <w:sz w:val="22"/>
          <w:szCs w:val="22"/>
        </w:rPr>
      </w:pPr>
      <w:r>
        <w:rPr>
          <w:b/>
          <w:bCs/>
          <w:i w:val="false"/>
          <w:iCs w:val="false"/>
          <w:color w:val="000000"/>
          <w:sz w:val="22"/>
          <w:szCs w:val="22"/>
        </w:rPr>
      </w:r>
    </w:p>
    <w:p>
      <w:pPr>
        <w:pStyle w:val="Normal"/>
        <w:ind w:start="-141" w:end="4"/>
        <w:rPr>
          <w:b/>
          <w:bCs/>
          <w:i w:val="false"/>
          <w:iCs w:val="false"/>
          <w:sz w:val="22"/>
          <w:szCs w:val="22"/>
        </w:rPr>
      </w:pPr>
      <w:r>
        <w:rPr>
          <w:b/>
          <w:bCs/>
          <w:i w:val="false"/>
          <w:iCs w:val="false"/>
          <w:sz w:val="22"/>
          <w:szCs w:val="22"/>
        </w:rPr>
      </w:r>
    </w:p>
    <w:p>
      <w:pPr>
        <w:pStyle w:val="Normal"/>
        <w:numPr>
          <w:ilvl w:val="0"/>
          <w:numId w:val="6"/>
        </w:numPr>
        <w:pBdr/>
        <w:ind w:hanging="425" w:start="283" w:end="4"/>
        <w:jc w:val="both"/>
        <w:rPr/>
      </w:pPr>
      <w:r>
        <w:rPr>
          <w:i w:val="false"/>
          <w:iCs w:val="false"/>
          <w:sz w:val="22"/>
          <w:szCs w:val="22"/>
        </w:rPr>
        <w:t xml:space="preserve">Las causas legalmente previstas en los artículos 192; 193 y 195 LCSP.  </w:t>
      </w:r>
    </w:p>
    <w:p>
      <w:pPr>
        <w:pStyle w:val="Normal"/>
        <w:ind w:start="-141" w:end="4"/>
        <w:rPr>
          <w:b/>
          <w:bCs/>
          <w:i w:val="false"/>
          <w:iCs w:val="false"/>
          <w:sz w:val="22"/>
          <w:szCs w:val="22"/>
        </w:rPr>
      </w:pPr>
      <w:r>
        <w:rPr>
          <w:b/>
          <w:bCs/>
          <w:i w:val="false"/>
          <w:iCs w:val="false"/>
          <w:sz w:val="22"/>
          <w:szCs w:val="22"/>
        </w:rPr>
      </w:r>
    </w:p>
    <w:p>
      <w:pPr>
        <w:pStyle w:val="Normal"/>
        <w:ind w:hanging="990" w:start="566" w:end="4"/>
        <w:jc w:val="both"/>
        <w:rPr>
          <w:sz w:val="22"/>
          <w:szCs w:val="22"/>
        </w:rPr>
      </w:pPr>
      <w:r>
        <w:rPr>
          <w:sz w:val="22"/>
          <w:szCs w:val="22"/>
        </w:rPr>
      </w:r>
    </w:p>
    <w:p>
      <w:pPr>
        <w:pStyle w:val="Normal"/>
        <w:numPr>
          <w:ilvl w:val="0"/>
          <w:numId w:val="6"/>
        </w:numPr>
        <w:pBdr/>
        <w:ind w:hanging="425" w:start="283" w:end="4"/>
        <w:jc w:val="both"/>
        <w:rPr/>
      </w:pPr>
      <w:r>
        <w:rPr>
          <w:i w:val="false"/>
          <w:iCs w:val="false"/>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pPr>
        <w:pStyle w:val="Normal"/>
        <w:ind w:end="279"/>
        <w:jc w:val="both"/>
        <w:rPr>
          <w:b/>
          <w:bCs/>
          <w:i w:val="false"/>
          <w:iCs w:val="false"/>
          <w:sz w:val="22"/>
          <w:szCs w:val="22"/>
        </w:rPr>
      </w:pPr>
      <w:r>
        <w:rPr>
          <w:b/>
          <w:bCs/>
          <w:i w:val="false"/>
          <w:iCs w:val="false"/>
          <w:sz w:val="22"/>
          <w:szCs w:val="22"/>
        </w:rPr>
      </w:r>
    </w:p>
    <w:p>
      <w:pPr>
        <w:pStyle w:val="Normal"/>
        <w:ind w:start="-141" w:end="4"/>
        <w:jc w:val="both"/>
        <w:rPr>
          <w:b/>
          <w:bCs/>
          <w:i w:val="false"/>
          <w:iCs w:val="false"/>
          <w:sz w:val="22"/>
          <w:szCs w:val="22"/>
        </w:rPr>
      </w:pPr>
      <w:r>
        <w:rPr>
          <w:b/>
          <w:bCs/>
          <w:i w:val="false"/>
          <w:iCs w:val="false"/>
          <w:sz w:val="22"/>
          <w:szCs w:val="22"/>
        </w:rPr>
      </w:r>
    </w:p>
    <w:p>
      <w:pPr>
        <w:pStyle w:val="Normal"/>
        <w:pBdr/>
        <w:ind w:end="4"/>
        <w:jc w:val="both"/>
        <w:rPr>
          <w:b/>
          <w:bCs/>
          <w:i w:val="false"/>
          <w:iCs w:val="false"/>
          <w:color w:val="000000"/>
          <w:sz w:val="22"/>
          <w:szCs w:val="22"/>
        </w:rPr>
      </w:pPr>
      <w:r>
        <w:rPr>
          <w:b/>
          <w:bCs/>
          <w:i w:val="false"/>
          <w:iCs w:val="false"/>
          <w:color w:val="000000"/>
          <w:sz w:val="22"/>
          <w:szCs w:val="22"/>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color w:val="000000"/>
          <w:sz w:val="18"/>
          <w:szCs w:val="18"/>
        </w:rPr>
      </w:pPr>
      <w:r>
        <w:rPr>
          <w:b/>
          <w:bCs/>
          <w:i w:val="false"/>
          <w:iCs w:val="false"/>
          <w:color w:val="000000"/>
          <w:sz w:val="18"/>
          <w:szCs w:val="18"/>
        </w:rPr>
      </w:r>
    </w:p>
    <w:p>
      <w:pPr>
        <w:pStyle w:val="Normal"/>
        <w:pBdr/>
        <w:jc w:val="both"/>
        <w:rPr>
          <w:b/>
          <w:bCs/>
          <w:i w:val="false"/>
          <w:iCs w:val="false"/>
          <w:sz w:val="18"/>
          <w:szCs w:val="18"/>
        </w:rPr>
      </w:pPr>
      <w:r>
        <w:rPr>
          <w:b/>
          <w:bCs/>
          <w:i w:val="false"/>
          <w:iCs w:val="false"/>
          <w:sz w:val="18"/>
          <w:szCs w:val="18"/>
        </w:rPr>
      </w:r>
    </w:p>
    <w:tbl>
      <w:tblPr>
        <w:tblStyle w:val="afffffffffff3"/>
        <w:tblW w:w="9180" w:type="dxa"/>
        <w:jc w:val="start"/>
        <w:tblInd w:w="-129" w:type="dxa"/>
        <w:tblLayout w:type="fixed"/>
        <w:tblCellMar>
          <w:top w:w="0" w:type="dxa"/>
          <w:start w:w="108" w:type="dxa"/>
          <w:bottom w:w="0" w:type="dxa"/>
          <w:end w:w="108" w:type="dxa"/>
        </w:tblCellMar>
        <w:tblLook w:val="0000" w:firstRow="0" w:noVBand="0" w:lastRow="0" w:firstColumn="0" w:lastColumn="0" w:noHBand="0"/>
      </w:tblPr>
      <w:tblGrid>
        <w:gridCol w:w="9180"/>
      </w:tblGrid>
      <w:tr>
        <w:trPr>
          <w:trHeight w:val="624" w:hRule="atLeast"/>
        </w:trPr>
        <w:tc>
          <w:tcPr>
            <w:tcW w:w="9180" w:type="dxa"/>
            <w:tcBorders/>
            <w:shd w:color="auto" w:fill="00B0F0" w:val="clear"/>
          </w:tcPr>
          <w:p>
            <w:pPr>
              <w:pStyle w:val="Normal"/>
              <w:pBdr/>
              <w:jc w:val="center"/>
              <w:rPr>
                <w:b/>
                <w:bCs/>
                <w:i w:val="false"/>
                <w:iCs w:val="false"/>
                <w:color w:val="FFFFFF"/>
                <w:sz w:val="24"/>
                <w:szCs w:val="24"/>
              </w:rPr>
            </w:pPr>
            <w:bookmarkStart w:id="15" w:name="bookmark=id.lnxbz9"/>
            <w:bookmarkEnd w:id="15"/>
            <w:r>
              <w:rPr>
                <w:b/>
                <w:bCs/>
                <w:i w:val="false"/>
                <w:iCs w:val="false"/>
                <w:color w:val="FFFFFF"/>
                <w:sz w:val="24"/>
                <w:szCs w:val="24"/>
              </w:rPr>
              <w:t>Anexo XI</w:t>
            </w:r>
          </w:p>
          <w:p>
            <w:pPr>
              <w:pStyle w:val="Normal"/>
              <w:pBdr/>
              <w:jc w:val="center"/>
              <w:rPr>
                <w:b/>
                <w:bCs/>
                <w:i w:val="false"/>
                <w:iCs w:val="false"/>
                <w:color w:val="FFFFFF"/>
                <w:sz w:val="24"/>
                <w:szCs w:val="24"/>
              </w:rPr>
            </w:pPr>
            <w:r>
              <w:rPr>
                <w:b/>
                <w:bCs/>
                <w:i w:val="false"/>
                <w:iCs w:val="false"/>
                <w:color w:val="FFFFFF"/>
                <w:sz w:val="24"/>
                <w:szCs w:val="24"/>
              </w:rPr>
              <w:t>Criterios de adjudicación.</w:t>
            </w:r>
          </w:p>
        </w:tc>
      </w:tr>
    </w:tbl>
    <w:p>
      <w:pPr>
        <w:pStyle w:val="Normal"/>
        <w:rPr>
          <w:b/>
          <w:bCs/>
          <w:i w:val="false"/>
          <w:iCs w:val="false"/>
          <w:color w:val="000080"/>
          <w:sz w:val="22"/>
          <w:szCs w:val="22"/>
        </w:rPr>
      </w:pPr>
      <w:r>
        <w:rPr>
          <w:b/>
          <w:bCs/>
          <w:i w:val="false"/>
          <w:iCs w:val="false"/>
          <w:color w:val="000080"/>
          <w:sz w:val="22"/>
          <w:szCs w:val="22"/>
        </w:rPr>
      </w:r>
    </w:p>
    <w:p>
      <w:pPr>
        <w:pStyle w:val="Normal"/>
        <w:pBdr/>
        <w:spacing w:lineRule="auto" w:line="276"/>
        <w:ind w:start="1080"/>
        <w:jc w:val="both"/>
        <w:rPr>
          <w:b/>
          <w:bCs/>
          <w:i w:val="false"/>
          <w:iCs w:val="false"/>
          <w:color w:val="1F497D"/>
          <w:sz w:val="22"/>
          <w:szCs w:val="22"/>
        </w:rPr>
      </w:pPr>
      <w:r>
        <w:rPr>
          <w:b/>
          <w:bCs/>
          <w:i w:val="false"/>
          <w:iCs w:val="false"/>
          <w:color w:val="1F497D"/>
          <w:sz w:val="22"/>
          <w:szCs w:val="22"/>
        </w:rPr>
      </w:r>
    </w:p>
    <w:p>
      <w:pPr>
        <w:pStyle w:val="ListParagraph"/>
        <w:numPr>
          <w:ilvl w:val="0"/>
          <w:numId w:val="18"/>
        </w:numPr>
        <w:ind w:hanging="0" w:start="0"/>
        <w:jc w:val="both"/>
        <w:rPr>
          <w:rFonts w:ascii="Arial" w:hAnsi="Arial" w:cs="Arial"/>
          <w:b/>
          <w:color w:val="1F497D"/>
          <w:lang w:val="es-ES_tradnl"/>
        </w:rPr>
      </w:pPr>
      <w:r>
        <w:rPr>
          <w:rFonts w:cs="Arial" w:ascii="Arial" w:hAnsi="Arial"/>
          <w:b/>
          <w:color w:val="1F497D"/>
          <w:lang w:val="es-ES_tradnl"/>
        </w:rPr>
        <w:t xml:space="preserve">Criterios cuantificables mediante fórmulas automáticas (hasta 100 puntos) </w:t>
      </w:r>
    </w:p>
    <w:p>
      <w:pPr>
        <w:pStyle w:val="Estndar"/>
        <w:rPr>
          <w:sz w:val="20"/>
        </w:rPr>
      </w:pPr>
      <w:r>
        <w:rPr>
          <w:sz w:val="20"/>
        </w:rPr>
      </w:r>
    </w:p>
    <w:p>
      <w:pPr>
        <w:pStyle w:val="Normal"/>
        <w:jc w:val="both"/>
        <w:rPr>
          <w:b/>
          <w:i w:val="false"/>
          <w:color w:val="1F497D"/>
          <w:sz w:val="22"/>
          <w:szCs w:val="22"/>
          <w:lang w:val="es-ES_tradnl"/>
        </w:rPr>
      </w:pPr>
      <w:r>
        <w:rPr>
          <w:b/>
          <w:i w:val="false"/>
          <w:color w:val="1F497D"/>
          <w:sz w:val="22"/>
          <w:szCs w:val="22"/>
          <w:lang w:val="es-ES_tradnl"/>
        </w:rPr>
        <w:t>1.1.- Oferta económica: Precio anual ofertado para la contratación del seguro (hasta 95 puntos)</w:t>
      </w:r>
    </w:p>
    <w:p>
      <w:pPr>
        <w:pStyle w:val="Normal"/>
        <w:snapToGrid w:val="false"/>
        <w:rPr>
          <w:i w:val="false"/>
          <w:sz w:val="22"/>
          <w:szCs w:val="22"/>
        </w:rPr>
      </w:pPr>
      <w:r>
        <w:rPr>
          <w:i w:val="false"/>
          <w:sz w:val="22"/>
          <w:szCs w:val="22"/>
        </w:rPr>
      </w:r>
    </w:p>
    <w:p>
      <w:pPr>
        <w:pStyle w:val="Normal"/>
        <w:spacing w:before="0" w:after="280"/>
        <w:ind w:hanging="2"/>
        <w:jc w:val="both"/>
        <w:rPr>
          <w:i w:val="false"/>
          <w:color w:val="000000"/>
          <w:sz w:val="22"/>
          <w:szCs w:val="22"/>
        </w:rPr>
      </w:pPr>
      <w:r>
        <w:rPr>
          <w:i w:val="false"/>
          <w:color w:val="000000"/>
          <w:sz w:val="22"/>
          <w:szCs w:val="22"/>
        </w:rPr>
        <w:t>Los puntos obtenidos por cada empresa licitadora se calcularán en base a la siguiente premisa:</w:t>
      </w:r>
    </w:p>
    <w:p>
      <w:pPr>
        <w:pStyle w:val="Normal"/>
        <w:snapToGrid w:val="false"/>
        <w:jc w:val="both"/>
        <w:rPr>
          <w:i w:val="false"/>
          <w:sz w:val="22"/>
          <w:szCs w:val="22"/>
        </w:rPr>
      </w:pPr>
      <w:r>
        <w:rPr>
          <w:i w:val="false"/>
          <w:sz w:val="22"/>
          <w:szCs w:val="22"/>
        </w:rPr>
        <w:t>Para la asignación de puntos de oferta económica se aplicará la siguiente fórmula: la mayor puntuación se asignará al Precio anual ofertado menor de los presentados y admitidos, distribuyendo la puntuación a las restantes ofertas de acuerdo con la siguiente función:</w:t>
      </w:r>
    </w:p>
    <w:p>
      <w:pPr>
        <w:pStyle w:val="Normal"/>
        <w:snapToGrid w:val="false"/>
        <w:jc w:val="both"/>
        <w:rPr>
          <w:i w:val="false"/>
          <w:sz w:val="22"/>
          <w:szCs w:val="22"/>
        </w:rPr>
      </w:pPr>
      <w:r>
        <w:rPr>
          <w:i w:val="false"/>
          <w:sz w:val="22"/>
          <w:szCs w:val="22"/>
        </w:rPr>
      </w:r>
    </w:p>
    <w:p>
      <w:pPr>
        <w:pStyle w:val="Normal"/>
        <w:snapToGrid w:val="false"/>
        <w:jc w:val="both"/>
        <w:rPr>
          <w:i w:val="false"/>
          <w:sz w:val="22"/>
          <w:szCs w:val="22"/>
        </w:rPr>
      </w:pPr>
      <w:r>
        <w:rPr>
          <w:i w:val="false"/>
          <w:sz w:val="22"/>
          <w:szCs w:val="22"/>
        </w:rPr>
        <w:t xml:space="preserve">    </w:t>
      </w:r>
      <w:r>
        <w:rPr>
          <w:i w:val="false"/>
          <w:sz w:val="22"/>
          <w:szCs w:val="22"/>
        </w:rPr>
        <w:tab/>
        <w:tab/>
        <w:tab/>
        <w:t xml:space="preserve">    Precio anual ofertado menor</w:t>
      </w:r>
    </w:p>
    <w:p>
      <w:pPr>
        <w:pStyle w:val="Normal"/>
        <w:snapToGrid w:val="false"/>
        <w:jc w:val="both"/>
        <w:rPr>
          <w:i w:val="false"/>
          <w:sz w:val="22"/>
          <w:szCs w:val="22"/>
        </w:rPr>
      </w:pPr>
      <w:r>
        <w:rPr>
          <w:i w:val="false"/>
          <w:sz w:val="22"/>
          <w:szCs w:val="22"/>
        </w:rPr>
      </w:r>
    </w:p>
    <w:p>
      <w:pPr>
        <w:pStyle w:val="Normal"/>
        <w:tabs>
          <w:tab w:val="clear" w:pos="720"/>
          <w:tab w:val="center" w:pos="4530" w:leader="none"/>
        </w:tabs>
        <w:snapToGrid w:val="false"/>
        <w:rPr>
          <w:i w:val="false"/>
          <w:sz w:val="22"/>
          <w:szCs w:val="22"/>
        </w:rPr>
      </w:pPr>
      <w:r>
        <mc:AlternateContent>
          <mc:Choice Requires="wps">
            <w:drawing>
              <wp:anchor distT="0" distB="14605" distL="109220" distR="120650" simplePos="0" relativeHeight="23" behindDoc="0" locked="0" layoutInCell="0" allowOverlap="1" wp14:anchorId="53568898">
                <wp:simplePos x="0" y="0"/>
                <wp:positionH relativeFrom="column">
                  <wp:posOffset>1855470</wp:posOffset>
                </wp:positionH>
                <wp:positionV relativeFrom="paragraph">
                  <wp:posOffset>94615</wp:posOffset>
                </wp:positionV>
                <wp:extent cx="1188720" cy="0"/>
                <wp:effectExtent l="5080" t="5080" r="5080" b="5080"/>
                <wp:wrapTopAndBottom/>
                <wp:docPr id="1" name="Line 3"/>
                <a:graphic xmlns:a="http://schemas.openxmlformats.org/drawingml/2006/main">
                  <a:graphicData uri="http://schemas.microsoft.com/office/word/2010/wordprocessingShape">
                    <wps:wsp>
                      <wps:cNvSpPr/>
                      <wps:spPr>
                        <a:xfrm>
                          <a:off x="0" y="0"/>
                          <a:ext cx="1188720" cy="0"/>
                        </a:xfrm>
                        <a:prstGeom prst="line">
                          <a:avLst/>
                        </a:prstGeom>
                        <a:ln w="9525">
                          <a:solidFill>
                            <a:srgbClr val="000000"/>
                          </a:solidFill>
                          <a:round/>
                        </a:ln>
                      </wps:spPr>
                      <wps:style>
                        <a:lnRef idx="0"/>
                        <a:fillRef idx="0"/>
                        <a:effectRef idx="0"/>
                        <a:fontRef idx="minor"/>
                      </wps:style>
                      <wps:bodyPr/>
                    </wps:wsp>
                  </a:graphicData>
                </a:graphic>
              </wp:anchor>
            </w:drawing>
          </mc:Choice>
          <mc:Fallback>
            <w:pict>
              <v:line id="shape_0" from="146.1pt,7.45pt" to="239.65pt,7.45pt" stroked="t" o:allowincell="f" style="position:absolute" wp14:anchorId="53568898">
                <v:stroke color="black" weight="9360" joinstyle="round" endcap="flat"/>
                <v:fill o:detectmouseclick="t" on="false"/>
                <w10:wrap type="topAndBottom"/>
              </v:line>
            </w:pict>
          </mc:Fallback>
        </mc:AlternateContent>
      </w:r>
      <w:r>
        <w:rPr>
          <w:i w:val="false"/>
          <w:sz w:val="22"/>
          <w:szCs w:val="22"/>
        </w:rPr>
        <w:t xml:space="preserve">Puntuación =      95  x  </w:t>
        <w:tab/>
      </w:r>
    </w:p>
    <w:p>
      <w:pPr>
        <w:pStyle w:val="Normal"/>
        <w:snapToGrid w:val="false"/>
        <w:ind w:start="2880"/>
        <w:rPr>
          <w:i w:val="false"/>
          <w:sz w:val="22"/>
          <w:szCs w:val="22"/>
        </w:rPr>
      </w:pPr>
      <w:r>
        <w:rPr>
          <w:i w:val="false"/>
          <w:sz w:val="22"/>
          <w:szCs w:val="22"/>
        </w:rPr>
        <w:t xml:space="preserve">Precio anual Ofertado      </w:t>
      </w:r>
    </w:p>
    <w:p>
      <w:pPr>
        <w:pStyle w:val="ListParagraph"/>
        <w:ind w:start="1080"/>
        <w:jc w:val="both"/>
        <w:rPr>
          <w:rFonts w:ascii="Arial" w:hAnsi="Arial" w:cs="Arial"/>
          <w:b/>
          <w:lang w:val="es-ES_tradnl"/>
        </w:rPr>
      </w:pPr>
      <w:r>
        <w:rPr>
          <w:rFonts w:cs="Arial" w:ascii="Arial" w:hAnsi="Arial"/>
          <w:b/>
          <w:lang w:val="es-ES_tradnl"/>
        </w:rPr>
      </w:r>
    </w:p>
    <w:p>
      <w:pPr>
        <w:pStyle w:val="Normal"/>
        <w:ind w:hanging="2"/>
        <w:rPr>
          <w:i w:val="false"/>
          <w:sz w:val="22"/>
          <w:szCs w:val="22"/>
        </w:rPr>
      </w:pPr>
      <w:r>
        <w:rPr>
          <w:i w:val="false"/>
          <w:sz w:val="22"/>
          <w:szCs w:val="22"/>
        </w:rPr>
      </w:r>
    </w:p>
    <w:p>
      <w:pPr>
        <w:pStyle w:val="Normal"/>
        <w:jc w:val="both"/>
        <w:rPr>
          <w:b/>
          <w:lang w:val="es-ES_tradnl"/>
        </w:rPr>
      </w:pPr>
      <w:r>
        <w:rPr>
          <w:b/>
          <w:lang w:val="es-ES_tradnl"/>
        </w:rPr>
      </w:r>
    </w:p>
    <w:p>
      <w:pPr>
        <w:pStyle w:val="Normal"/>
        <w:jc w:val="both"/>
        <w:rPr>
          <w:b/>
          <w:i w:val="false"/>
          <w:color w:val="1F497D"/>
          <w:sz w:val="22"/>
          <w:szCs w:val="22"/>
          <w:lang w:val="es-ES_tradnl"/>
        </w:rPr>
      </w:pPr>
      <w:r>
        <w:rPr>
          <w:b/>
          <w:i w:val="false"/>
          <w:color w:val="1F497D"/>
          <w:sz w:val="22"/>
          <w:szCs w:val="22"/>
          <w:lang w:val="es-ES_tradnl"/>
        </w:rPr>
        <w:t>1.2.- Propuesta del servicio de mediación (5 puntos)</w:t>
      </w:r>
    </w:p>
    <w:p>
      <w:pPr>
        <w:pStyle w:val="Normal"/>
        <w:spacing w:before="0" w:after="280"/>
        <w:jc w:val="both"/>
        <w:rPr>
          <w:i w:val="false"/>
          <w:color w:val="000000"/>
        </w:rPr>
      </w:pPr>
      <w:r>
        <w:rPr>
          <w:i w:val="false"/>
          <w:color w:val="000000"/>
        </w:rPr>
      </w:r>
    </w:p>
    <w:p>
      <w:pPr>
        <w:pStyle w:val="Normal"/>
        <w:spacing w:before="0" w:after="280"/>
        <w:jc w:val="both"/>
        <w:rPr>
          <w:i w:val="false"/>
          <w:color w:val="000000"/>
          <w:sz w:val="22"/>
          <w:szCs w:val="22"/>
        </w:rPr>
      </w:pPr>
      <w:r>
        <w:rPr>
          <w:i w:val="false"/>
          <w:color w:val="000000"/>
          <w:sz w:val="22"/>
          <w:szCs w:val="22"/>
        </w:rPr>
        <w:t>Se cumplimentará el apartado 1.2. Propuesta del servicio de mediación en el PPT del Anexo V (Modelo de proposición económica y demás criterios sometidos a fórmula) indicando el si ofrece o no dicho servicio.</w:t>
      </w:r>
    </w:p>
    <w:p>
      <w:pPr>
        <w:pStyle w:val="Normal"/>
        <w:jc w:val="both"/>
        <w:rPr>
          <w:i w:val="false"/>
          <w:color w:val="000000"/>
          <w:sz w:val="22"/>
          <w:szCs w:val="22"/>
        </w:rPr>
      </w:pPr>
      <w:r>
        <w:rPr>
          <w:i w:val="false"/>
          <w:color w:val="000000"/>
          <w:sz w:val="22"/>
          <w:szCs w:val="22"/>
        </w:rPr>
        <w:t>La puntuación se distribuye de la siguiente manera:</w:t>
      </w:r>
    </w:p>
    <w:p>
      <w:pPr>
        <w:pStyle w:val="Normal"/>
        <w:rPr>
          <w:i w:val="false"/>
        </w:rPr>
      </w:pPr>
      <w:r>
        <w:rPr>
          <w:i w:val="false"/>
        </w:rPr>
      </w:r>
    </w:p>
    <w:tbl>
      <w:tblPr>
        <w:tblW w:w="4444" w:type="dxa"/>
        <w:jc w:val="center"/>
        <w:tblInd w:w="0" w:type="dxa"/>
        <w:tblLayout w:type="fixed"/>
        <w:tblCellMar>
          <w:top w:w="0" w:type="dxa"/>
          <w:start w:w="115" w:type="dxa"/>
          <w:bottom w:w="0" w:type="dxa"/>
          <w:end w:w="115" w:type="dxa"/>
        </w:tblCellMar>
        <w:tblLook w:val="04a0" w:firstRow="1" w:noVBand="1" w:lastRow="0" w:firstColumn="1" w:lastColumn="0" w:noHBand="0"/>
      </w:tblPr>
      <w:tblGrid>
        <w:gridCol w:w="3371"/>
        <w:gridCol w:w="1073"/>
      </w:tblGrid>
      <w:tr>
        <w:trPr>
          <w:trHeight w:val="500" w:hRule="atLeast"/>
        </w:trPr>
        <w:tc>
          <w:tcPr>
            <w:tcW w:w="3371" w:type="dxa"/>
            <w:tcBorders>
              <w:top w:val="single" w:sz="4" w:space="0" w:color="000000"/>
              <w:start w:val="single" w:sz="4" w:space="0" w:color="000000"/>
              <w:bottom w:val="single" w:sz="4" w:space="0" w:color="000000"/>
              <w:end w:val="single" w:sz="4" w:space="0" w:color="000000"/>
            </w:tcBorders>
            <w:vAlign w:val="center"/>
          </w:tcPr>
          <w:p>
            <w:pPr>
              <w:pStyle w:val="Normal"/>
              <w:ind w:hanging="2"/>
              <w:jc w:val="both"/>
              <w:rPr>
                <w:i w:val="false"/>
                <w:sz w:val="22"/>
                <w:szCs w:val="22"/>
              </w:rPr>
            </w:pPr>
            <w:r>
              <w:rPr>
                <w:i w:val="false"/>
                <w:sz w:val="22"/>
                <w:szCs w:val="22"/>
              </w:rPr>
              <w:t>No aporta servicio de mediación</w:t>
            </w:r>
          </w:p>
        </w:tc>
        <w:tc>
          <w:tcPr>
            <w:tcW w:w="1073" w:type="dxa"/>
            <w:tcBorders>
              <w:top w:val="single" w:sz="4" w:space="0" w:color="000000"/>
              <w:start w:val="single" w:sz="4" w:space="0" w:color="000000"/>
              <w:bottom w:val="single" w:sz="4" w:space="0" w:color="000000"/>
              <w:end w:val="single" w:sz="4" w:space="0" w:color="000000"/>
            </w:tcBorders>
            <w:vAlign w:val="center"/>
          </w:tcPr>
          <w:p>
            <w:pPr>
              <w:pStyle w:val="Normal"/>
              <w:ind w:hanging="2"/>
              <w:jc w:val="center"/>
              <w:rPr>
                <w:i w:val="false"/>
                <w:sz w:val="22"/>
                <w:szCs w:val="22"/>
              </w:rPr>
            </w:pPr>
            <w:r>
              <w:rPr>
                <w:i w:val="false"/>
                <w:sz w:val="22"/>
                <w:szCs w:val="22"/>
              </w:rPr>
              <w:t>0 puntos</w:t>
            </w:r>
          </w:p>
        </w:tc>
      </w:tr>
      <w:tr>
        <w:trPr>
          <w:trHeight w:val="500" w:hRule="atLeast"/>
        </w:trPr>
        <w:tc>
          <w:tcPr>
            <w:tcW w:w="3371" w:type="dxa"/>
            <w:tcBorders>
              <w:top w:val="single" w:sz="4" w:space="0" w:color="000000"/>
              <w:start w:val="single" w:sz="4" w:space="0" w:color="000000"/>
              <w:bottom w:val="single" w:sz="4" w:space="0" w:color="000000"/>
              <w:end w:val="single" w:sz="4" w:space="0" w:color="000000"/>
            </w:tcBorders>
            <w:vAlign w:val="center"/>
          </w:tcPr>
          <w:p>
            <w:pPr>
              <w:pStyle w:val="Normal"/>
              <w:jc w:val="both"/>
              <w:rPr>
                <w:i w:val="false"/>
                <w:sz w:val="22"/>
                <w:szCs w:val="22"/>
              </w:rPr>
            </w:pPr>
            <w:r>
              <w:rPr>
                <w:i w:val="false"/>
                <w:sz w:val="22"/>
                <w:szCs w:val="22"/>
              </w:rPr>
              <w:t>Aporta servicio de mediación</w:t>
            </w:r>
          </w:p>
        </w:tc>
        <w:tc>
          <w:tcPr>
            <w:tcW w:w="1073" w:type="dxa"/>
            <w:tcBorders>
              <w:top w:val="single" w:sz="4" w:space="0" w:color="000000"/>
              <w:start w:val="single" w:sz="4" w:space="0" w:color="000000"/>
              <w:bottom w:val="single" w:sz="4" w:space="0" w:color="000000"/>
              <w:end w:val="single" w:sz="4" w:space="0" w:color="000000"/>
            </w:tcBorders>
            <w:vAlign w:val="center"/>
          </w:tcPr>
          <w:p>
            <w:pPr>
              <w:pStyle w:val="Normal"/>
              <w:ind w:hanging="2"/>
              <w:jc w:val="center"/>
              <w:rPr>
                <w:i w:val="false"/>
                <w:sz w:val="22"/>
                <w:szCs w:val="22"/>
              </w:rPr>
            </w:pPr>
            <w:r>
              <w:rPr>
                <w:i w:val="false"/>
                <w:sz w:val="22"/>
                <w:szCs w:val="22"/>
              </w:rPr>
              <w:t>5 puntos</w:t>
            </w:r>
          </w:p>
        </w:tc>
      </w:tr>
    </w:tbl>
    <w:p>
      <w:pPr>
        <w:pStyle w:val="Normal"/>
        <w:shd w:val="clear" w:color="auto" w:fill="FFFFFF"/>
        <w:spacing w:before="0" w:after="30"/>
        <w:ind w:end="45"/>
        <w:rPr>
          <w:b/>
          <w:i w:val="false"/>
          <w:color w:val="000000"/>
          <w:sz w:val="22"/>
          <w:szCs w:val="22"/>
        </w:rPr>
      </w:pPr>
      <w:r>
        <w:rPr>
          <w:b/>
          <w:i w:val="false"/>
          <w:color w:val="000000"/>
          <w:sz w:val="22"/>
          <w:szCs w:val="22"/>
        </w:rPr>
      </w:r>
    </w:p>
    <w:p>
      <w:pPr>
        <w:pStyle w:val="Normal"/>
        <w:pBdr/>
        <w:spacing w:lineRule="auto" w:line="276"/>
        <w:jc w:val="both"/>
        <w:rPr>
          <w:b/>
          <w:i w:val="false"/>
          <w:color w:val="1F497D"/>
          <w:sz w:val="22"/>
          <w:szCs w:val="22"/>
        </w:rPr>
      </w:pPr>
      <w:r>
        <w:rPr>
          <w:i w:val="false"/>
          <w:color w:val="000000"/>
          <w:sz w:val="22"/>
        </w:rPr>
        <w:t>En caso que se proponga el servicio de mediación se deberá indicar también, la razón social y el NIF de la correduría. No se otorgará puntuación si no se cumplimentan en el Anexo V todos los datos solicitados.</w:t>
      </w:r>
    </w:p>
    <w:p>
      <w:pPr>
        <w:pStyle w:val="Normal"/>
        <w:pBdr/>
        <w:spacing w:lineRule="auto" w:line="276" w:before="0" w:after="200"/>
        <w:ind w:start="720"/>
        <w:jc w:val="both"/>
        <w:rPr>
          <w:i w:val="false"/>
          <w:iCs w:val="false"/>
          <w:color w:val="FF0000"/>
          <w:sz w:val="22"/>
          <w:szCs w:val="22"/>
        </w:rPr>
      </w:pPr>
      <w:r>
        <w:rPr>
          <w:i w:val="false"/>
          <w:iCs w:val="false"/>
          <w:color w:val="FF0000"/>
          <w:sz w:val="22"/>
          <w:szCs w:val="22"/>
        </w:rPr>
      </w:r>
    </w:p>
    <w:p>
      <w:pPr>
        <w:pStyle w:val="Normal"/>
        <w:pBdr/>
        <w:jc w:val="both"/>
        <w:rPr>
          <w:i w:val="false"/>
          <w:iCs w:val="false"/>
          <w:color w:val="1F497D"/>
        </w:rPr>
      </w:pPr>
      <w:r>
        <w:rPr>
          <w:i w:val="false"/>
          <w:iCs w:val="false"/>
          <w:color w:val="1F497D"/>
        </w:rPr>
      </w:r>
    </w:p>
    <w:p>
      <w:pPr>
        <w:pStyle w:val="Normal"/>
        <w:pBdr/>
        <w:jc w:val="both"/>
        <w:rPr>
          <w:i w:val="false"/>
          <w:iCs w:val="false"/>
          <w:color w:val="1F497D"/>
        </w:rPr>
      </w:pPr>
      <w:r>
        <w:rPr>
          <w:i w:val="false"/>
          <w:iCs w:val="false"/>
          <w:color w:val="1F497D"/>
        </w:rPr>
      </w:r>
    </w:p>
    <w:p>
      <w:pPr>
        <w:pStyle w:val="Normal"/>
        <w:pBdr/>
        <w:jc w:val="both"/>
        <w:rPr>
          <w:i w:val="false"/>
          <w:iCs w:val="false"/>
          <w:color w:val="1F497D"/>
        </w:rPr>
      </w:pPr>
      <w:r>
        <w:rPr>
          <w:i w:val="false"/>
          <w:iCs w:val="false"/>
          <w:color w:val="1F497D"/>
        </w:rPr>
      </w:r>
    </w:p>
    <w:p>
      <w:pPr>
        <w:pStyle w:val="Normal"/>
        <w:pBdr/>
        <w:jc w:val="both"/>
        <w:rPr>
          <w:i w:val="false"/>
          <w:iCs w:val="false"/>
          <w:color w:val="1F497D"/>
        </w:rPr>
      </w:pPr>
      <w:r>
        <w:rPr>
          <w:i w:val="false"/>
          <w:iCs w:val="false"/>
          <w:color w:val="1F497D"/>
        </w:rPr>
      </w:r>
    </w:p>
    <w:p>
      <w:pPr>
        <w:pStyle w:val="Normal"/>
        <w:pBdr/>
        <w:jc w:val="both"/>
        <w:rPr>
          <w:i w:val="false"/>
          <w:iCs w:val="false"/>
          <w:color w:val="000000"/>
        </w:rPr>
      </w:pPr>
      <w:r>
        <w:rPr>
          <w:i w:val="false"/>
          <w:iCs w:val="false"/>
          <w:color w:val="000000"/>
        </w:rPr>
      </w:r>
    </w:p>
    <w:p>
      <w:pPr>
        <w:pStyle w:val="Normal"/>
        <w:pBdr/>
        <w:jc w:val="both"/>
        <w:rPr>
          <w:i w:val="false"/>
          <w:iCs w:val="false"/>
          <w:color w:val="000000"/>
        </w:rPr>
      </w:pPr>
      <w:r>
        <w:rPr>
          <w:i w:val="false"/>
          <w:iCs w:val="false"/>
          <w:color w:val="000000"/>
        </w:rPr>
      </w:r>
    </w:p>
    <w:tbl>
      <w:tblPr>
        <w:tblStyle w:val="afffffffffff4"/>
        <w:tblW w:w="9150" w:type="dxa"/>
        <w:jc w:val="start"/>
        <w:tblInd w:w="-114" w:type="dxa"/>
        <w:tblLayout w:type="fixed"/>
        <w:tblCellMar>
          <w:top w:w="0" w:type="dxa"/>
          <w:start w:w="108" w:type="dxa"/>
          <w:bottom w:w="0" w:type="dxa"/>
          <w:end w:w="108" w:type="dxa"/>
        </w:tblCellMar>
        <w:tblLook w:val="0000" w:firstRow="0" w:noVBand="0" w:lastRow="0" w:firstColumn="0" w:lastColumn="0" w:noHBand="0"/>
      </w:tblPr>
      <w:tblGrid>
        <w:gridCol w:w="9150"/>
      </w:tblGrid>
      <w:tr>
        <w:trPr>
          <w:trHeight w:val="709" w:hRule="atLeast"/>
        </w:trPr>
        <w:tc>
          <w:tcPr>
            <w:tcW w:w="9150" w:type="dxa"/>
            <w:tcBorders/>
            <w:shd w:color="auto" w:fill="00B0F0" w:val="clear"/>
          </w:tcPr>
          <w:p>
            <w:pPr>
              <w:pStyle w:val="Normal"/>
              <w:pBdr/>
              <w:jc w:val="center"/>
              <w:rPr>
                <w:b/>
                <w:bCs/>
                <w:i w:val="false"/>
                <w:iCs w:val="false"/>
                <w:color w:val="FFFFFF"/>
                <w:sz w:val="24"/>
                <w:szCs w:val="24"/>
              </w:rPr>
            </w:pPr>
            <w:r>
              <w:rPr>
                <w:b/>
                <w:bCs/>
                <w:i w:val="false"/>
                <w:iCs w:val="false"/>
                <w:color w:val="FFFFFF"/>
                <w:sz w:val="24"/>
                <w:szCs w:val="24"/>
              </w:rPr>
              <w:t>Anexo XII</w:t>
            </w:r>
          </w:p>
          <w:p>
            <w:pPr>
              <w:pStyle w:val="Normal"/>
              <w:pBdr/>
              <w:jc w:val="center"/>
              <w:rPr>
                <w:b/>
                <w:bCs/>
                <w:i w:val="false"/>
                <w:iCs w:val="false"/>
                <w:color w:val="FFFFFF"/>
                <w:sz w:val="24"/>
                <w:szCs w:val="24"/>
                <w:u w:val="single"/>
              </w:rPr>
            </w:pPr>
            <w:r>
              <w:rPr>
                <w:b/>
                <w:bCs/>
                <w:i w:val="false"/>
                <w:iCs w:val="false"/>
                <w:color w:val="FFFFFF"/>
                <w:sz w:val="24"/>
                <w:szCs w:val="24"/>
              </w:rPr>
              <w:t>Desglose costes</w:t>
            </w:r>
          </w:p>
        </w:tc>
      </w:tr>
    </w:tbl>
    <w:p>
      <w:pPr>
        <w:pStyle w:val="Normal"/>
        <w:pBdr/>
        <w:jc w:val="both"/>
        <w:rPr>
          <w:i w:val="false"/>
          <w:iCs w:val="false"/>
          <w:color w:val="000000"/>
        </w:rPr>
      </w:pPr>
      <w:r>
        <w:rPr>
          <w:i w:val="false"/>
          <w:iCs w:val="false"/>
          <w:color w:val="000000"/>
        </w:rPr>
      </w:r>
    </w:p>
    <w:p>
      <w:pPr>
        <w:pStyle w:val="Normal"/>
        <w:pBdr/>
        <w:jc w:val="both"/>
        <w:rPr>
          <w:i w:val="false"/>
          <w:iCs w:val="false"/>
          <w:color w:val="000000"/>
        </w:rPr>
      </w:pPr>
      <w:r>
        <w:rPr>
          <w:i w:val="false"/>
          <w:iCs w:val="false"/>
          <w:color w:val="000000"/>
        </w:rPr>
      </w:r>
    </w:p>
    <w:p>
      <w:pPr>
        <w:pStyle w:val="ListParagraph"/>
        <w:jc w:val="both"/>
        <w:rPr>
          <w:rFonts w:ascii="Arial" w:hAnsi="Arial" w:eastAsia="Times New Roman" w:cs="Arial"/>
          <w:b/>
          <w:bCs/>
          <w:lang w:eastAsia="es-ES"/>
        </w:rPr>
      </w:pPr>
      <w:r>
        <w:rPr>
          <w:rFonts w:eastAsia="Times New Roman" w:cs="Arial" w:ascii="Arial" w:hAnsi="Arial"/>
          <w:b/>
          <w:bCs/>
          <w:lang w:eastAsia="es-ES"/>
        </w:rPr>
      </w:r>
    </w:p>
    <w:p>
      <w:pPr>
        <w:pStyle w:val="ListParagraph"/>
        <w:numPr>
          <w:ilvl w:val="0"/>
          <w:numId w:val="17"/>
        </w:numPr>
        <w:ind w:hanging="0" w:start="0"/>
        <w:jc w:val="both"/>
        <w:rPr>
          <w:rFonts w:ascii="Arial" w:hAnsi="Arial" w:eastAsia="Times New Roman" w:cs="Arial"/>
          <w:b/>
          <w:bCs/>
          <w:lang w:eastAsia="es-ES"/>
        </w:rPr>
      </w:pPr>
      <w:r>
        <w:rPr>
          <w:rFonts w:eastAsia="Times New Roman" w:cs="Arial" w:ascii="Arial" w:hAnsi="Arial"/>
          <w:b/>
          <w:bCs/>
          <w:lang w:eastAsia="es-ES"/>
        </w:rPr>
        <w:t>DETERMINACIÓN DEL PRESUPUESTO BASE DE LICITACIÓN</w:t>
      </w:r>
    </w:p>
    <w:p>
      <w:pPr>
        <w:pStyle w:val="ListParagraph"/>
        <w:jc w:val="both"/>
        <w:rPr>
          <w:rFonts w:ascii="Arial" w:hAnsi="Arial" w:eastAsia="Times New Roman" w:cs="Arial"/>
          <w:bCs/>
          <w:lang w:eastAsia="es-ES"/>
        </w:rPr>
      </w:pPr>
      <w:r>
        <w:rPr>
          <w:rFonts w:eastAsia="Times New Roman" w:cs="Arial" w:ascii="Arial" w:hAnsi="Arial"/>
          <w:bCs/>
          <w:lang w:eastAsia="es-ES"/>
        </w:rPr>
      </w:r>
    </w:p>
    <w:p>
      <w:pPr>
        <w:pStyle w:val="ListParagraph"/>
        <w:ind w:start="284"/>
        <w:jc w:val="both"/>
        <w:rPr>
          <w:rFonts w:ascii="Arial" w:hAnsi="Arial" w:eastAsia="Times New Roman" w:cs="Arial"/>
          <w:bCs/>
          <w:lang w:eastAsia="es-ES"/>
        </w:rPr>
      </w:pPr>
      <w:r>
        <w:rPr>
          <w:rFonts w:eastAsia="Times New Roman" w:cs="Arial" w:ascii="Arial" w:hAnsi="Arial"/>
          <w:bCs/>
          <w:lang w:eastAsia="es-ES"/>
        </w:rPr>
        <w:t>Para la determinación del Presupuesto Base de Licitación antes indicado se han tenido en cuenta los siguientes conceptos y criterios.</w:t>
      </w:r>
    </w:p>
    <w:p>
      <w:pPr>
        <w:pStyle w:val="ListParagraph"/>
        <w:ind w:start="284"/>
        <w:jc w:val="both"/>
        <w:rPr>
          <w:rFonts w:ascii="Arial" w:hAnsi="Arial" w:eastAsia="Times New Roman" w:cs="Arial"/>
          <w:bCs/>
          <w:lang w:eastAsia="es-ES"/>
        </w:rPr>
      </w:pPr>
      <w:r>
        <w:rPr>
          <w:rFonts w:eastAsia="Times New Roman" w:cs="Arial" w:ascii="Arial" w:hAnsi="Arial"/>
          <w:bCs/>
          <w:lang w:eastAsia="es-ES"/>
        </w:rPr>
      </w:r>
    </w:p>
    <w:p>
      <w:pPr>
        <w:pStyle w:val="ListParagraph"/>
        <w:spacing w:lineRule="auto" w:line="240"/>
        <w:ind w:start="284"/>
        <w:jc w:val="both"/>
        <w:rPr>
          <w:rFonts w:ascii="Arial" w:hAnsi="Arial" w:cs="Arial"/>
          <w:color w:val="000000"/>
          <w:shd w:fill="FFFFFF" w:val="clear"/>
        </w:rPr>
      </w:pPr>
      <w:r>
        <w:rPr>
          <w:rFonts w:eastAsia="Times New Roman" w:cs="Arial" w:ascii="Arial" w:hAnsi="Arial"/>
          <w:bCs/>
          <w:lang w:eastAsia="es-ES"/>
        </w:rPr>
        <w:t>L</w:t>
      </w:r>
      <w:r>
        <w:rPr>
          <w:rStyle w:val="Strong"/>
          <w:rFonts w:cs="Arial" w:ascii="Arial" w:hAnsi="Arial"/>
          <w:iCs w:val="false"/>
          <w:color w:val="000000"/>
          <w:shd w:fill="FFFFFF" w:val="clear"/>
        </w:rPr>
        <w:t>a cantidad de la prima del seguro depende del tipo de riesgo asegurado; de la duración del contrato; y del límite que se ha puesto a la indemnización </w:t>
      </w:r>
      <w:r>
        <w:rPr>
          <w:rFonts w:cs="Arial" w:ascii="Arial" w:hAnsi="Arial"/>
          <w:color w:val="000000"/>
          <w:shd w:fill="FFFFFF" w:val="clear"/>
        </w:rPr>
        <w:t xml:space="preserve">por el riesgo asegurado. </w:t>
      </w:r>
    </w:p>
    <w:p>
      <w:pPr>
        <w:pStyle w:val="ListParagraph"/>
        <w:spacing w:lineRule="auto" w:line="240"/>
        <w:ind w:start="284"/>
        <w:jc w:val="both"/>
        <w:rPr>
          <w:rFonts w:ascii="Arial" w:hAnsi="Arial" w:cs="Arial"/>
          <w:color w:val="000000"/>
          <w:shd w:fill="FFFFFF" w:val="clear"/>
        </w:rPr>
      </w:pPr>
      <w:r>
        <w:rPr>
          <w:rFonts w:cs="Arial" w:ascii="Arial" w:hAnsi="Arial"/>
          <w:color w:val="000000"/>
          <w:shd w:fill="FFFFFF" w:val="clear"/>
        </w:rPr>
      </w:r>
    </w:p>
    <w:p>
      <w:pPr>
        <w:pStyle w:val="ListParagraph"/>
        <w:spacing w:lineRule="auto" w:line="240"/>
        <w:ind w:start="284"/>
        <w:jc w:val="both"/>
        <w:rPr>
          <w:rFonts w:ascii="Arial" w:hAnsi="Arial" w:cs="Arial"/>
          <w:color w:val="000000"/>
          <w:shd w:fill="FFFFFF" w:val="clear"/>
        </w:rPr>
      </w:pPr>
      <w:r>
        <w:rPr>
          <w:rFonts w:cs="Arial" w:ascii="Arial" w:hAnsi="Arial"/>
          <w:bCs/>
        </w:rPr>
        <w:t>Otros factores que intervienen para el cálculo de la prima son:</w:t>
      </w:r>
    </w:p>
    <w:p>
      <w:pPr>
        <w:pStyle w:val="Normal"/>
        <w:numPr>
          <w:ilvl w:val="0"/>
          <w:numId w:val="16"/>
        </w:numPr>
        <w:shd w:val="clear" w:color="auto" w:fill="FFFFFF"/>
        <w:spacing w:before="0" w:after="120"/>
        <w:ind w:hanging="0" w:start="709"/>
        <w:jc w:val="both"/>
        <w:rPr>
          <w:bCs/>
          <w:i w:val="false"/>
          <w:sz w:val="22"/>
          <w:szCs w:val="22"/>
        </w:rPr>
      </w:pPr>
      <w:r>
        <w:rPr>
          <w:bCs/>
          <w:i w:val="false"/>
          <w:sz w:val="22"/>
          <w:szCs w:val="22"/>
        </w:rPr>
        <w:t>Número de siniestros</w:t>
      </w:r>
    </w:p>
    <w:p>
      <w:pPr>
        <w:pStyle w:val="Normal"/>
        <w:numPr>
          <w:ilvl w:val="0"/>
          <w:numId w:val="16"/>
        </w:numPr>
        <w:shd w:val="clear" w:color="auto" w:fill="FFFFFF"/>
        <w:spacing w:before="120" w:after="0"/>
        <w:ind w:firstLine="349" w:start="360"/>
        <w:jc w:val="both"/>
        <w:rPr>
          <w:bCs/>
          <w:i w:val="false"/>
          <w:sz w:val="22"/>
          <w:szCs w:val="22"/>
        </w:rPr>
      </w:pPr>
      <w:r>
        <w:rPr>
          <w:bCs/>
          <w:i w:val="false"/>
          <w:sz w:val="22"/>
          <w:szCs w:val="22"/>
        </w:rPr>
        <w:t>Número de asegurados</w:t>
      </w:r>
    </w:p>
    <w:p>
      <w:pPr>
        <w:pStyle w:val="Normal"/>
        <w:numPr>
          <w:ilvl w:val="0"/>
          <w:numId w:val="16"/>
        </w:numPr>
        <w:shd w:val="clear" w:color="auto" w:fill="FFFFFF"/>
        <w:spacing w:before="120" w:after="0"/>
        <w:ind w:firstLine="349" w:start="360"/>
        <w:jc w:val="both"/>
        <w:rPr>
          <w:bCs/>
          <w:i w:val="false"/>
          <w:sz w:val="22"/>
          <w:szCs w:val="22"/>
        </w:rPr>
      </w:pPr>
      <w:r>
        <w:rPr>
          <w:bCs/>
          <w:i w:val="false"/>
          <w:sz w:val="22"/>
          <w:szCs w:val="22"/>
        </w:rPr>
        <w:t>Coste total de los siniestros</w:t>
      </w:r>
    </w:p>
    <w:p>
      <w:pPr>
        <w:pStyle w:val="Normal"/>
        <w:numPr>
          <w:ilvl w:val="0"/>
          <w:numId w:val="16"/>
        </w:numPr>
        <w:shd w:val="clear" w:color="auto" w:fill="FFFFFF"/>
        <w:spacing w:before="120" w:after="0"/>
        <w:ind w:firstLine="349" w:start="360"/>
        <w:jc w:val="both"/>
        <w:rPr>
          <w:bCs/>
          <w:i w:val="false"/>
          <w:sz w:val="22"/>
          <w:szCs w:val="22"/>
        </w:rPr>
      </w:pPr>
      <w:r>
        <w:rPr>
          <w:bCs/>
          <w:i w:val="false"/>
          <w:sz w:val="22"/>
          <w:szCs w:val="22"/>
        </w:rPr>
        <w:t>Frecuencia siniestral</w:t>
      </w:r>
    </w:p>
    <w:p>
      <w:pPr>
        <w:pStyle w:val="Normal"/>
        <w:numPr>
          <w:ilvl w:val="0"/>
          <w:numId w:val="16"/>
        </w:numPr>
        <w:shd w:val="clear" w:color="auto" w:fill="FFFFFF"/>
        <w:spacing w:before="120" w:afterAutospacing="1"/>
        <w:ind w:firstLine="349" w:start="360"/>
        <w:jc w:val="both"/>
        <w:rPr>
          <w:bCs/>
          <w:i w:val="false"/>
          <w:sz w:val="22"/>
          <w:szCs w:val="22"/>
        </w:rPr>
      </w:pPr>
      <w:r>
        <w:rPr>
          <w:bCs/>
          <w:i w:val="false"/>
          <w:sz w:val="22"/>
          <w:szCs w:val="22"/>
        </w:rPr>
        <w:t>Experiencia de la empresa aseguradora</w:t>
      </w:r>
    </w:p>
    <w:p>
      <w:pPr>
        <w:pStyle w:val="ListParagraph"/>
        <w:spacing w:lineRule="auto" w:line="240"/>
        <w:ind w:start="284"/>
        <w:jc w:val="both"/>
        <w:rPr>
          <w:rStyle w:val="Strong"/>
          <w:rFonts w:ascii="Arial" w:hAnsi="Arial" w:cs="Arial"/>
          <w:b w:val="false"/>
          <w:i w:val="false"/>
          <w:iCs w:val="false"/>
          <w:color w:val="000000"/>
          <w:shd w:fill="FFFFFF" w:val="clear"/>
        </w:rPr>
      </w:pPr>
      <w:r>
        <w:rPr>
          <w:rStyle w:val="Strong"/>
          <w:rFonts w:cs="Arial" w:ascii="Arial" w:hAnsi="Arial"/>
          <w:iCs w:val="false"/>
          <w:color w:val="000000"/>
          <w:shd w:fill="FFFFFF" w:val="clear"/>
        </w:rPr>
        <w:t>Para establecer el presupuesto de licitación, se ha tomado como referencia el valor del riesgo, los gastos internos, los gastos externos, y los tributos y recargos aplicables. Así  la prima del seguro está compuesta por:</w:t>
      </w:r>
    </w:p>
    <w:p>
      <w:pPr>
        <w:pStyle w:val="Normal"/>
        <w:numPr>
          <w:ilvl w:val="0"/>
          <w:numId w:val="15"/>
        </w:numPr>
        <w:shd w:val="clear" w:color="auto" w:fill="FFFFFF"/>
        <w:tabs>
          <w:tab w:val="clear" w:pos="720"/>
          <w:tab w:val="left" w:pos="1276" w:leader="none"/>
        </w:tabs>
        <w:spacing w:before="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La prima pura o de riesgo: cantidad de dinero que el asegurador tiene percibir para atender el importe de la siniestralidad que, teórica y estadísticamente, se presume habrá durante un periodo de tiempo en los riesgos asegurados.</w:t>
      </w:r>
    </w:p>
    <w:p>
      <w:pPr>
        <w:pStyle w:val="Normal"/>
        <w:numPr>
          <w:ilvl w:val="0"/>
          <w:numId w:val="15"/>
        </w:numPr>
        <w:shd w:val="clear" w:color="auto" w:fill="FFFFFF"/>
        <w:tabs>
          <w:tab w:val="clear" w:pos="720"/>
          <w:tab w:val="left" w:pos="1276" w:leader="none"/>
        </w:tabs>
        <w:spacing w:before="12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Recargo de seguridad: cantidad para compensar posibles desviaciones negativas de la siniestralidad esperada.</w:t>
      </w:r>
    </w:p>
    <w:p>
      <w:pPr>
        <w:pStyle w:val="Normal"/>
        <w:numPr>
          <w:ilvl w:val="0"/>
          <w:numId w:val="15"/>
        </w:numPr>
        <w:shd w:val="clear" w:color="auto" w:fill="FFFFFF"/>
        <w:tabs>
          <w:tab w:val="clear" w:pos="720"/>
          <w:tab w:val="left" w:pos="1276" w:leader="none"/>
        </w:tabs>
        <w:spacing w:before="12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Margen de beneficio: se trata de hacer bien las cosas para obtener un beneficio empresarial.</w:t>
      </w:r>
    </w:p>
    <w:p>
      <w:pPr>
        <w:pStyle w:val="Normal"/>
        <w:numPr>
          <w:ilvl w:val="0"/>
          <w:numId w:val="15"/>
        </w:numPr>
        <w:shd w:val="clear" w:color="auto" w:fill="FFFFFF"/>
        <w:tabs>
          <w:tab w:val="clear" w:pos="720"/>
          <w:tab w:val="left" w:pos="1276" w:leader="none"/>
        </w:tabs>
        <w:spacing w:before="12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Los gastos de administración o gastos internos. Tramitación de siniestros, personal de la aseguradora,…</w:t>
      </w:r>
    </w:p>
    <w:p>
      <w:pPr>
        <w:pStyle w:val="Normal"/>
        <w:numPr>
          <w:ilvl w:val="0"/>
          <w:numId w:val="15"/>
        </w:numPr>
        <w:shd w:val="clear" w:color="auto" w:fill="FFFFFF"/>
        <w:tabs>
          <w:tab w:val="clear" w:pos="720"/>
          <w:tab w:val="left" w:pos="1276" w:leader="none"/>
        </w:tabs>
        <w:spacing w:before="12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Los gastos comerciales o gastos externos. Pago de comisiones a la red, marketing,…</w:t>
      </w:r>
    </w:p>
    <w:p>
      <w:pPr>
        <w:pStyle w:val="Normal"/>
        <w:numPr>
          <w:ilvl w:val="0"/>
          <w:numId w:val="15"/>
        </w:numPr>
        <w:shd w:val="clear" w:color="auto" w:fill="FFFFFF"/>
        <w:tabs>
          <w:tab w:val="clear" w:pos="720"/>
          <w:tab w:val="left" w:pos="1276" w:leader="none"/>
        </w:tabs>
        <w:spacing w:before="120" w:after="0"/>
        <w:ind w:hanging="567" w:start="1276"/>
        <w:jc w:val="both"/>
        <w:rPr>
          <w:rStyle w:val="Strong"/>
          <w:rFonts w:eastAsia="Calibri"/>
          <w:b w:val="false"/>
          <w:i w:val="false"/>
          <w:iCs w:val="false"/>
          <w:color w:val="000000"/>
          <w:sz w:val="22"/>
          <w:szCs w:val="22"/>
          <w:shd w:fill="FFFFFF" w:val="clear"/>
          <w:lang w:eastAsia="en-US"/>
        </w:rPr>
      </w:pPr>
      <w:r>
        <w:rPr>
          <w:rStyle w:val="Strong"/>
          <w:rFonts w:eastAsia="Calibri"/>
          <w:i w:val="false"/>
          <w:iCs w:val="false"/>
          <w:color w:val="000000"/>
          <w:sz w:val="22"/>
          <w:szCs w:val="22"/>
          <w:shd w:fill="FFFFFF" w:val="clear"/>
          <w:lang w:eastAsia="en-US"/>
        </w:rPr>
        <w:t>Recargo a favor del Consorcio de Compensación de Seguros.</w:t>
      </w:r>
    </w:p>
    <w:p>
      <w:pPr>
        <w:pStyle w:val="Normal"/>
        <w:numPr>
          <w:ilvl w:val="0"/>
          <w:numId w:val="15"/>
        </w:numPr>
        <w:shd w:val="clear" w:color="auto" w:fill="FFFFFF"/>
        <w:tabs>
          <w:tab w:val="clear" w:pos="720"/>
          <w:tab w:val="left" w:pos="1276" w:leader="none"/>
        </w:tabs>
        <w:spacing w:before="120" w:afterAutospacing="1"/>
        <w:ind w:hanging="567" w:start="1276"/>
        <w:jc w:val="both"/>
        <w:rPr>
          <w:i w:val="false"/>
          <w:sz w:val="22"/>
        </w:rPr>
      </w:pPr>
      <w:r>
        <w:rPr>
          <w:i w:val="false"/>
          <w:sz w:val="22"/>
        </w:rPr>
        <w:t>Impuesto sobre Primas de Seguro.</w:t>
      </w:r>
    </w:p>
    <w:p>
      <w:pPr>
        <w:pStyle w:val="Normal"/>
        <w:numPr>
          <w:ilvl w:val="0"/>
          <w:numId w:val="0"/>
        </w:numPr>
        <w:shd w:val="clear" w:color="auto" w:fill="FFFFFF"/>
        <w:spacing w:lineRule="atLeast" w:line="240" w:before="360" w:after="0"/>
        <w:ind w:start="720"/>
        <w:jc w:val="both"/>
        <w:outlineLvl w:val="2"/>
        <w:rPr>
          <w:i w:val="false"/>
          <w:iCs w:val="false"/>
          <w:color w:val="000000"/>
        </w:rPr>
      </w:pPr>
      <w:r>
        <w:rPr>
          <w:b/>
          <w:bCs/>
          <w:i w:val="false"/>
          <w:sz w:val="24"/>
          <w:szCs w:val="29"/>
        </w:rPr>
        <w:t>El precio final = prima neta + impuestos + recargos</w:t>
      </w:r>
    </w:p>
    <w:sectPr>
      <w:headerReference w:type="even" r:id="rId3"/>
      <w:headerReference w:type="default" r:id="rId4"/>
      <w:headerReference w:type="first" r:id="rId5"/>
      <w:type w:val="nextPage"/>
      <w:pgSz w:w="11906" w:h="16838"/>
      <w:pgMar w:left="1701" w:right="1144" w:gutter="0" w:header="420" w:top="992"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Symbol">
    <w:charset w:val="00" w:characterSet="windows-1252"/>
    <w:family w:val="roman"/>
    <w:pitch w:val="variable"/>
  </w:font>
  <w:font w:name="Courier New">
    <w:charset w:val="00" w:characterSet="windows-1252"/>
    <w:family w:val="swiss"/>
    <w:pitch w:val="variable"/>
  </w:font>
  <w:font w:name="Wingdings">
    <w:charset w:val="00" w:characterSet="windows-1252"/>
    <w:family w:val="swiss"/>
    <w:pitch w:val="variable"/>
    <w:embedRegular r:id="rId1" w:fontKey="{01014A78-CABC-4EF0-12AC-5CD89AEFDE01}"/>
  </w:font>
  <w:font w:name="Tahoma">
    <w:charset w:val="00" w:characterSet="windows-1252"/>
    <w:family w:val="swiss"/>
    <w:pitch w:val="variable"/>
  </w:font>
  <w:font w:name="Cambria">
    <w:charset w:val="00" w:characterSet="windows-1252"/>
    <w:family w:val="roman"/>
    <w:pitch w:val="variable"/>
  </w:font>
  <w:font w:name="Calibri">
    <w:charset w:val="00" w:characterSet="windows-1252"/>
    <w:family w:val="swiss"/>
    <w:pitch w:val="variable"/>
  </w:font>
  <w:font w:name="Georgia">
    <w:charset w:val="00" w:characterSet="windows-1252"/>
    <w:family w:val="roman"/>
    <w:pitch w:val="variable"/>
    <w:embedRegular r:id="rId2" w:fontKey="{02014A78-CABC-4EF0-12AC-5CD89AEFDE02}"/>
    <w:embedBold r:id="rId3" w:fontKey="{03014A78-CABC-4EF0-12AC-5CD89AEFDE03}"/>
    <w:embedItalic r:id="rId4" w:fontKey="{04014A78-CABC-4EF0-12AC-5CD89AEFDE04}"/>
    <w:embedBoldItalic r:id="rId5" w:fontKey="{05014A78-CABC-4EF0-12AC-5CD89AEFDE05}"/>
  </w:font>
  <w:font w:name="MS Gothic">
    <w:charset w:val="00" w:characterSet="windows-1252"/>
    <w:family w:val="swiss"/>
    <w:pitch w:val="variable"/>
  </w:font>
  <w:font w:name="Courier New">
    <w:charset w:val="01"/>
    <w:family w:val="modern"/>
    <w:pitch w:val="fixed"/>
  </w:font>
  <w:font w:name="Noto Sans Symbols">
    <w:charset w:val="01"/>
    <w:family w:val="swiss"/>
    <w:pitch w:val="default"/>
  </w:font>
  <w:font w:name="Wingdings">
    <w:charset w:val="02"/>
    <w:family w:val="auto"/>
    <w:pitch w:val="default"/>
    <w:embedRegular r:id="rId6" w:fontKey="{06014A78-CABC-4EF0-12AC-5CD89AEFDE06}"/>
  </w:font>
  <w:font w:name="Wingdings 2">
    <w:charset w:val="02"/>
    <w:family w:val="auto"/>
    <w:pitch w:val="default"/>
    <w:embedRegular r:id="rId7" w:fontKey="{07014A78-CABC-4EF0-12AC-5CD89AEFDE07}"/>
  </w:font>
  <w:font w:name="OpenSymbol">
    <w:altName w:val="Arial Unicode MS"/>
    <w:charset w:val="01"/>
    <w:family w:val="auto"/>
    <w:pitch w:val="default"/>
  </w:font>
  <w:font w:name="OpenSymbol">
    <w:altName w:val="Arial Unicode MS"/>
    <w:charset w:val="02"/>
    <w:family w:val="auto"/>
    <w:pitch w:val="default"/>
  </w:font>
  <w:font w:name="Liberation Serif">
    <w:altName w:val="Times New Roman"/>
    <w:charset w:val="01"/>
    <w:family w:val="roman"/>
    <w:pitch w:val="variable"/>
  </w:font>
  <w:font w:name="Wingdings">
    <w:charset w:val="02"/>
    <w:family w:val="auto"/>
    <w:pitch w:val="variable"/>
    <w:embedRegular r:id="rId8" w:fontKey="{08014A78-CABC-4EF0-12AC-5CD89AEFDE08}"/>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524" w:leader="none"/>
        <w:tab w:val="right" w:pos="8504" w:leader="none"/>
      </w:tabs>
      <w:ind w:firstLine="2125" w:start="3118"/>
      <w:jc w:val="both"/>
      <w:rPr>
        <w:i w:val="false"/>
        <w:iCs w:val="false"/>
      </w:rPr>
    </w:pPr>
    <w:r>
      <w:rPr>
        <w:i w:val="false"/>
        <w:iCs w:val="false"/>
        <w:sz w:val="18"/>
        <w:szCs w:val="18"/>
      </w:rPr>
      <w:tab/>
      <w:t>CP00018/2026 Contratación de la Póliza de seguro de responsabilidad civil de instalaciones radioactivas y de radiodiagnóstico para ASEPEYO, Mutua Colaboradora con la Seguridad Social nº 151.</w:t>
    </w:r>
    <w:r>
      <w:rPr>
        <w:i w:val="false"/>
        <w:iCs w:val="false"/>
      </w:rPr>
      <w:drawing>
        <wp:anchor distT="0" distB="0" distL="114300" distR="114300" simplePos="0" relativeHeight="22"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2"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
      <w:jc w:val="end"/>
      <w:rPr>
        <w:b/>
        <w:bCs/>
        <w:i w:val="false"/>
        <w:iCs w:val="false"/>
      </w:rPr>
    </w:pPr>
    <w:r>
      <w:rPr>
        <w:b/>
        <w:bCs/>
        <w:i w:val="false"/>
        <w:iCs w:val="false"/>
      </w:rPr>
      <w:tab/>
      <w:tab/>
      <w:tab/>
      <w:tab/>
      <w:tab/>
      <w:tab/>
      <w:tab/>
      <w:tab/>
    </w:r>
  </w:p>
  <w:p>
    <w:pPr>
      <w:pStyle w:val="Normal"/>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524" w:leader="none"/>
        <w:tab w:val="right" w:pos="8504" w:leader="none"/>
      </w:tabs>
      <w:ind w:firstLine="2125" w:start="3118"/>
      <w:jc w:val="both"/>
      <w:rPr>
        <w:i w:val="false"/>
        <w:iCs w:val="false"/>
      </w:rPr>
    </w:pPr>
    <w:r>
      <w:rPr>
        <w:i w:val="false"/>
        <w:iCs w:val="false"/>
        <w:sz w:val="18"/>
        <w:szCs w:val="18"/>
      </w:rPr>
      <w:tab/>
      <w:t>CP00018/2026 Contratación de la Póliza de seguro de responsabilidad civil de instalaciones radioactivas y de radiodiagnóstico para ASEPEYO, Mutua Colaboradora con la Seguridad Social nº 151.</w:t>
    </w:r>
    <w:r>
      <w:rPr>
        <w:i w:val="false"/>
        <w:iCs w:val="false"/>
      </w:rPr>
      <w:drawing>
        <wp:anchor distT="0" distB="0" distL="114300" distR="114300" simplePos="0" relativeHeight="22"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3"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
      <w:jc w:val="end"/>
      <w:rPr>
        <w:b/>
        <w:bCs/>
        <w:i w:val="false"/>
        <w:iCs w:val="false"/>
      </w:rPr>
    </w:pPr>
    <w:r>
      <w:rPr>
        <w:b/>
        <w:bCs/>
        <w:i w:val="false"/>
        <w:iCs w:val="false"/>
      </w:rPr>
      <w:tab/>
      <w:tab/>
      <w:tab/>
      <w:tab/>
      <w:tab/>
      <w:tab/>
      <w:tab/>
      <w:tab/>
    </w:r>
  </w:p>
  <w:p>
    <w:pPr>
      <w:pStyle w:val="Normal"/>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start"/>
      <w:pPr>
        <w:tabs>
          <w:tab w:val="num" w:pos="0"/>
        </w:tabs>
        <w:ind w:start="718" w:hanging="360"/>
      </w:pPr>
      <w:rPr>
        <w:rFonts w:ascii="Courier New" w:hAnsi="Courier New" w:cs="Courier New" w:hint="default"/>
      </w:rPr>
    </w:lvl>
    <w:lvl w:ilvl="1">
      <w:start w:val="1"/>
      <w:numFmt w:val="bullet"/>
      <w:lvlText w:val="o"/>
      <w:lvlJc w:val="start"/>
      <w:pPr>
        <w:tabs>
          <w:tab w:val="num" w:pos="0"/>
        </w:tabs>
        <w:ind w:start="1438" w:hanging="360"/>
      </w:pPr>
      <w:rPr>
        <w:rFonts w:ascii="Courier New" w:hAnsi="Courier New" w:cs="Courier New" w:hint="default"/>
      </w:rPr>
    </w:lvl>
    <w:lvl w:ilvl="2">
      <w:start w:val="1"/>
      <w:numFmt w:val="bullet"/>
      <w:lvlText w:val="▪"/>
      <w:lvlJc w:val="start"/>
      <w:pPr>
        <w:tabs>
          <w:tab w:val="num" w:pos="0"/>
        </w:tabs>
        <w:ind w:start="2158" w:hanging="360"/>
      </w:pPr>
      <w:rPr>
        <w:rFonts w:ascii="Noto Sans Symbols" w:hAnsi="Noto Sans Symbols" w:cs="Noto Sans Symbols" w:hint="default"/>
      </w:rPr>
    </w:lvl>
    <w:lvl w:ilvl="3">
      <w:start w:val="1"/>
      <w:numFmt w:val="bullet"/>
      <w:lvlText w:val="●"/>
      <w:lvlJc w:val="start"/>
      <w:pPr>
        <w:tabs>
          <w:tab w:val="num" w:pos="0"/>
        </w:tabs>
        <w:ind w:start="2878" w:hanging="360"/>
      </w:pPr>
      <w:rPr>
        <w:rFonts w:ascii="Noto Sans Symbols" w:hAnsi="Noto Sans Symbols" w:cs="Noto Sans Symbols" w:hint="default"/>
      </w:rPr>
    </w:lvl>
    <w:lvl w:ilvl="4">
      <w:start w:val="1"/>
      <w:numFmt w:val="bullet"/>
      <w:lvlText w:val="o"/>
      <w:lvlJc w:val="start"/>
      <w:pPr>
        <w:tabs>
          <w:tab w:val="num" w:pos="0"/>
        </w:tabs>
        <w:ind w:start="3598" w:hanging="360"/>
      </w:pPr>
      <w:rPr>
        <w:rFonts w:ascii="Courier New" w:hAnsi="Courier New" w:cs="Courier New" w:hint="default"/>
      </w:rPr>
    </w:lvl>
    <w:lvl w:ilvl="5">
      <w:start w:val="1"/>
      <w:numFmt w:val="bullet"/>
      <w:lvlText w:val="▪"/>
      <w:lvlJc w:val="start"/>
      <w:pPr>
        <w:tabs>
          <w:tab w:val="num" w:pos="0"/>
        </w:tabs>
        <w:ind w:start="4318" w:hanging="360"/>
      </w:pPr>
      <w:rPr>
        <w:rFonts w:ascii="Noto Sans Symbols" w:hAnsi="Noto Sans Symbols" w:cs="Noto Sans Symbols" w:hint="default"/>
      </w:rPr>
    </w:lvl>
    <w:lvl w:ilvl="6">
      <w:start w:val="1"/>
      <w:numFmt w:val="bullet"/>
      <w:lvlText w:val="●"/>
      <w:lvlJc w:val="start"/>
      <w:pPr>
        <w:tabs>
          <w:tab w:val="num" w:pos="0"/>
        </w:tabs>
        <w:ind w:start="5038" w:hanging="360"/>
      </w:pPr>
      <w:rPr>
        <w:rFonts w:ascii="Noto Sans Symbols" w:hAnsi="Noto Sans Symbols" w:cs="Noto Sans Symbols" w:hint="default"/>
      </w:rPr>
    </w:lvl>
    <w:lvl w:ilvl="7">
      <w:start w:val="1"/>
      <w:numFmt w:val="bullet"/>
      <w:lvlText w:val="o"/>
      <w:lvlJc w:val="start"/>
      <w:pPr>
        <w:tabs>
          <w:tab w:val="num" w:pos="0"/>
        </w:tabs>
        <w:ind w:start="5758" w:hanging="360"/>
      </w:pPr>
      <w:rPr>
        <w:rFonts w:ascii="Courier New" w:hAnsi="Courier New" w:cs="Courier New" w:hint="default"/>
      </w:rPr>
    </w:lvl>
    <w:lvl w:ilvl="8">
      <w:start w:val="1"/>
      <w:numFmt w:val="bullet"/>
      <w:lvlText w:val="▪"/>
      <w:lvlJc w:val="start"/>
      <w:pPr>
        <w:tabs>
          <w:tab w:val="num" w:pos="0"/>
        </w:tabs>
        <w:ind w:start="6478" w:hanging="360"/>
      </w:pPr>
      <w:rPr>
        <w:rFonts w:ascii="Noto Sans Symbols" w:hAnsi="Noto Sans Symbols" w:cs="Noto Sans Symbols" w:hint="default"/>
      </w:rPr>
    </w:lvl>
  </w:abstractNum>
  <w:abstractNum w:abstractNumId="2">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3">
    <w:lvl w:ilvl="0">
      <w:start w:val="1"/>
      <w:numFmt w:val="decimal"/>
      <w:lvlText w:val="%1."/>
      <w:lvlJc w:val="start"/>
      <w:pPr>
        <w:tabs>
          <w:tab w:val="num" w:pos="0"/>
        </w:tabs>
        <w:ind w:start="720" w:hanging="360"/>
      </w:pPr>
      <w:rPr>
        <w:b/>
        <w:bCs/>
        <w:i w:val="false"/>
        <w:iCs w:val="false"/>
        <w:sz w:val="14"/>
        <w:szCs w:val="14"/>
        <w:vertAlign w:val="superscript"/>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4">
    <w:lvl w:ilvl="0">
      <w:start w:val="1"/>
      <w:numFmt w:val="lowerRoman"/>
      <w:lvlText w:val="(%1)"/>
      <w:lvlJc w:val="start"/>
      <w:pPr>
        <w:tabs>
          <w:tab w:val="num" w:pos="0"/>
        </w:tabs>
        <w:ind w:start="1080" w:hanging="72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5">
    <w:lvl w:ilvl="0">
      <w:start w:val="1"/>
      <w:numFmt w:val="decimal"/>
      <w:lvlText w:val="%1."/>
      <w:lvlJc w:val="start"/>
      <w:pPr>
        <w:tabs>
          <w:tab w:val="num" w:pos="0"/>
        </w:tabs>
        <w:ind w:start="928" w:hanging="360"/>
      </w:pPr>
      <w:rPr>
        <w:b/>
        <w:bCs/>
        <w:color w:val="0070C0"/>
        <w:sz w:val="22"/>
        <w:szCs w:val="22"/>
      </w:rPr>
    </w:lvl>
    <w:lvl w:ilvl="1">
      <w:start w:val="1"/>
      <w:numFmt w:val="decimal"/>
      <w:lvlText w:val="%1.%2"/>
      <w:lvlJc w:val="start"/>
      <w:pPr>
        <w:tabs>
          <w:tab w:val="num" w:pos="0"/>
        </w:tabs>
        <w:ind w:start="720" w:hanging="360"/>
      </w:pPr>
      <w:rPr>
        <w:b/>
        <w:bCs/>
        <w:color w:val="0070C0"/>
        <w:sz w:val="22"/>
        <w:szCs w:val="22"/>
      </w:rPr>
    </w:lvl>
    <w:lvl w:ilvl="2">
      <w:start w:val="1"/>
      <w:numFmt w:val="decimal"/>
      <w:lvlText w:val="%1.%2.%3"/>
      <w:lvlJc w:val="start"/>
      <w:pPr>
        <w:tabs>
          <w:tab w:val="num" w:pos="0"/>
        </w:tabs>
        <w:ind w:start="1080" w:hanging="720"/>
      </w:pPr>
      <w:rPr/>
    </w:lvl>
    <w:lvl w:ilvl="3">
      <w:start w:val="1"/>
      <w:numFmt w:val="decimal"/>
      <w:lvlText w:val="%1.%2.%3.%4"/>
      <w:lvlJc w:val="start"/>
      <w:pPr>
        <w:tabs>
          <w:tab w:val="num" w:pos="0"/>
        </w:tabs>
        <w:ind w:start="1080" w:hanging="720"/>
      </w:pPr>
      <w:rPr/>
    </w:lvl>
    <w:lvl w:ilvl="4">
      <w:start w:val="1"/>
      <w:numFmt w:val="decimal"/>
      <w:lvlText w:val="%1.%2.%3.%4.%5"/>
      <w:lvlJc w:val="start"/>
      <w:pPr>
        <w:tabs>
          <w:tab w:val="num" w:pos="0"/>
        </w:tabs>
        <w:ind w:start="1440" w:hanging="1080"/>
      </w:pPr>
      <w:rPr/>
    </w:lvl>
    <w:lvl w:ilvl="5">
      <w:start w:val="1"/>
      <w:numFmt w:val="decimal"/>
      <w:lvlText w:val="%1.%2.%3.%4.%5.%6"/>
      <w:lvlJc w:val="start"/>
      <w:pPr>
        <w:tabs>
          <w:tab w:val="num" w:pos="0"/>
        </w:tabs>
        <w:ind w:start="1440" w:hanging="1080"/>
      </w:pPr>
      <w:rPr/>
    </w:lvl>
    <w:lvl w:ilvl="6">
      <w:start w:val="1"/>
      <w:numFmt w:val="decimal"/>
      <w:lvlText w:val="%1.%2.%3.%4.%5.%6.%7"/>
      <w:lvlJc w:val="start"/>
      <w:pPr>
        <w:tabs>
          <w:tab w:val="num" w:pos="0"/>
        </w:tabs>
        <w:ind w:start="1800" w:hanging="1440"/>
      </w:pPr>
      <w:rPr/>
    </w:lvl>
    <w:lvl w:ilvl="7">
      <w:start w:val="1"/>
      <w:numFmt w:val="decimal"/>
      <w:lvlText w:val="%1.%2.%3.%4.%5.%6.%7.%8"/>
      <w:lvlJc w:val="start"/>
      <w:pPr>
        <w:tabs>
          <w:tab w:val="num" w:pos="0"/>
        </w:tabs>
        <w:ind w:start="1800" w:hanging="1440"/>
      </w:pPr>
      <w:rPr/>
    </w:lvl>
    <w:lvl w:ilvl="8">
      <w:start w:val="1"/>
      <w:numFmt w:val="decimal"/>
      <w:lvlText w:val="%1.%2.%3.%4.%5.%6.%7.%8.%9"/>
      <w:lvlJc w:val="start"/>
      <w:pPr>
        <w:tabs>
          <w:tab w:val="num" w:pos="0"/>
        </w:tabs>
        <w:ind w:start="2160" w:hanging="1800"/>
      </w:pPr>
      <w:rPr/>
    </w:lvl>
  </w:abstractNum>
  <w:abstractNum w:abstractNumId="6">
    <w:lvl w:ilvl="0">
      <w:numFmt w:val="bullet"/>
      <w:lvlText w:val="-"/>
      <w:lvlJc w:val="start"/>
      <w:pPr>
        <w:tabs>
          <w:tab w:val="num" w:pos="0"/>
        </w:tabs>
        <w:ind w:start="1065" w:hanging="705"/>
      </w:pPr>
      <w:rPr>
        <w:rFonts w:ascii="OpenSymbol" w:hAnsi="OpenSymbol" w:cs="OpenSymbol" w:hint="default"/>
        <w:sz w:val="22"/>
        <w:szCs w:val="22"/>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7">
    <w:lvl w:ilvl="0">
      <w:start w:val="1"/>
      <w:numFmt w:val="upperLetter"/>
      <w:lvlText w:val="%1."/>
      <w:lvlJc w:val="start"/>
      <w:pPr>
        <w:tabs>
          <w:tab w:val="num" w:pos="0"/>
        </w:tabs>
        <w:ind w:start="360" w:hanging="360"/>
      </w:pPr>
      <w:rPr/>
    </w:lvl>
    <w:lvl w:ilvl="1">
      <w:start w:val="1"/>
      <w:numFmt w:val="bullet"/>
      <w:lvlText w:val="←"/>
      <w:lvlJc w:val="start"/>
      <w:pPr>
        <w:tabs>
          <w:tab w:val="num" w:pos="0"/>
        </w:tabs>
        <w:ind w:start="0" w:hanging="0"/>
      </w:pPr>
      <w:rPr>
        <w:rFonts w:ascii="Liberation Serif" w:hAnsi="Liberation Serif" w:cs="Liberation Serif" w:hint="default"/>
      </w:rPr>
    </w:lvl>
    <w:lvl w:ilvl="2">
      <w:start w:val="1"/>
      <w:numFmt w:val="bullet"/>
      <w:lvlText w:val="←"/>
      <w:lvlJc w:val="start"/>
      <w:pPr>
        <w:tabs>
          <w:tab w:val="num" w:pos="0"/>
        </w:tabs>
        <w:ind w:start="0" w:hanging="0"/>
      </w:pPr>
      <w:rPr>
        <w:rFonts w:ascii="Liberation Serif" w:hAnsi="Liberation Serif" w:cs="Liberation Serif" w:hint="default"/>
      </w:rPr>
    </w:lvl>
    <w:lvl w:ilvl="3">
      <w:start w:val="1"/>
      <w:numFmt w:val="bullet"/>
      <w:lvlText w:val="←"/>
      <w:lvlJc w:val="start"/>
      <w:pPr>
        <w:tabs>
          <w:tab w:val="num" w:pos="0"/>
        </w:tabs>
        <w:ind w:start="0" w:hanging="0"/>
      </w:pPr>
      <w:rPr>
        <w:rFonts w:ascii="Liberation Serif" w:hAnsi="Liberation Serif" w:cs="Liberation Serif" w:hint="default"/>
      </w:rPr>
    </w:lvl>
    <w:lvl w:ilvl="4">
      <w:start w:val="1"/>
      <w:numFmt w:val="bullet"/>
      <w:lvlText w:val="←"/>
      <w:lvlJc w:val="start"/>
      <w:pPr>
        <w:tabs>
          <w:tab w:val="num" w:pos="0"/>
        </w:tabs>
        <w:ind w:start="0" w:hanging="0"/>
      </w:pPr>
      <w:rPr>
        <w:rFonts w:ascii="Liberation Serif" w:hAnsi="Liberation Serif" w:cs="Liberation Serif" w:hint="default"/>
      </w:rPr>
    </w:lvl>
    <w:lvl w:ilvl="5">
      <w:start w:val="1"/>
      <w:numFmt w:val="bullet"/>
      <w:lvlText w:val="←"/>
      <w:lvlJc w:val="start"/>
      <w:pPr>
        <w:tabs>
          <w:tab w:val="num" w:pos="0"/>
        </w:tabs>
        <w:ind w:start="0" w:hanging="0"/>
      </w:pPr>
      <w:rPr>
        <w:rFonts w:ascii="Liberation Serif" w:hAnsi="Liberation Serif" w:cs="Liberation Serif" w:hint="default"/>
      </w:rPr>
    </w:lvl>
    <w:lvl w:ilvl="6">
      <w:start w:val="1"/>
      <w:numFmt w:val="bullet"/>
      <w:lvlText w:val="←"/>
      <w:lvlJc w:val="start"/>
      <w:pPr>
        <w:tabs>
          <w:tab w:val="num" w:pos="0"/>
        </w:tabs>
        <w:ind w:start="0" w:hanging="0"/>
      </w:pPr>
      <w:rPr>
        <w:rFonts w:ascii="Liberation Serif" w:hAnsi="Liberation Serif" w:cs="Liberation Serif" w:hint="default"/>
      </w:rPr>
    </w:lvl>
    <w:lvl w:ilvl="7">
      <w:start w:val="1"/>
      <w:numFmt w:val="bullet"/>
      <w:lvlText w:val="←"/>
      <w:lvlJc w:val="start"/>
      <w:pPr>
        <w:tabs>
          <w:tab w:val="num" w:pos="0"/>
        </w:tabs>
        <w:ind w:start="0" w:hanging="0"/>
      </w:pPr>
      <w:rPr>
        <w:rFonts w:ascii="Liberation Serif" w:hAnsi="Liberation Serif" w:cs="Liberation Serif" w:hint="default"/>
      </w:rPr>
    </w:lvl>
    <w:lvl w:ilvl="8">
      <w:start w:val="1"/>
      <w:numFmt w:val="bullet"/>
      <w:lvlText w:val="←"/>
      <w:lvlJc w:val="start"/>
      <w:pPr>
        <w:tabs>
          <w:tab w:val="num" w:pos="0"/>
        </w:tabs>
        <w:ind w:start="0" w:hanging="0"/>
      </w:pPr>
      <w:rPr>
        <w:rFonts w:ascii="Liberation Serif" w:hAnsi="Liberation Serif" w:cs="Liberation Serif" w:hint="default"/>
      </w:rPr>
    </w:lvl>
  </w:abstractNum>
  <w:abstractNum w:abstractNumId="8">
    <w:lvl w:ilvl="0">
      <w:start w:val="1"/>
      <w:numFmt w:val="bullet"/>
      <w:lvlText w:val=""/>
      <w:lvlJc w:val="start"/>
      <w:pPr>
        <w:tabs>
          <w:tab w:val="num" w:pos="0"/>
        </w:tabs>
        <w:ind w:start="720" w:hanging="360"/>
      </w:pPr>
      <w:rPr>
        <w:rFonts w:ascii="Wingdings" w:hAnsi="Wingdings" w:cs="Wingdings" w:hint="default"/>
        <w:color w:val="000000"/>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9">
    <w:lvl w:ilvl="0">
      <w:start w:val="1"/>
      <w:numFmt w:val="upperRoman"/>
      <w:lvlText w:val="%1."/>
      <w:lvlJc w:val="start"/>
      <w:pPr>
        <w:tabs>
          <w:tab w:val="num" w:pos="0"/>
        </w:tabs>
        <w:ind w:start="720" w:hanging="720"/>
      </w:pPr>
      <w:rPr>
        <w:b/>
        <w:bCs/>
      </w:rPr>
    </w:lvl>
    <w:lvl w:ilvl="1">
      <w:start w:val="1"/>
      <w:numFmt w:val="decimal"/>
      <w:lvlText w:val="%1.%2"/>
      <w:lvlJc w:val="start"/>
      <w:pPr>
        <w:tabs>
          <w:tab w:val="num" w:pos="0"/>
        </w:tabs>
        <w:ind w:start="720" w:hanging="360"/>
      </w:pPr>
      <w:rPr>
        <w:color w:val="0070C0"/>
      </w:rPr>
    </w:lvl>
    <w:lvl w:ilvl="2">
      <w:start w:val="1"/>
      <w:numFmt w:val="decimal"/>
      <w:lvlText w:val="%1.%2.%3"/>
      <w:lvlJc w:val="start"/>
      <w:pPr>
        <w:tabs>
          <w:tab w:val="num" w:pos="0"/>
        </w:tabs>
        <w:ind w:start="1080" w:hanging="720"/>
      </w:pPr>
      <w:rPr/>
    </w:lvl>
    <w:lvl w:ilvl="3">
      <w:start w:val="1"/>
      <w:numFmt w:val="decimal"/>
      <w:lvlText w:val="%1.%2.%3.%4"/>
      <w:lvlJc w:val="start"/>
      <w:pPr>
        <w:tabs>
          <w:tab w:val="num" w:pos="0"/>
        </w:tabs>
        <w:ind w:start="1080" w:hanging="720"/>
      </w:pPr>
      <w:rPr/>
    </w:lvl>
    <w:lvl w:ilvl="4">
      <w:start w:val="1"/>
      <w:numFmt w:val="decimal"/>
      <w:lvlText w:val="%1.%2.%3.%4.%5"/>
      <w:lvlJc w:val="start"/>
      <w:pPr>
        <w:tabs>
          <w:tab w:val="num" w:pos="0"/>
        </w:tabs>
        <w:ind w:start="1440" w:hanging="1080"/>
      </w:pPr>
      <w:rPr/>
    </w:lvl>
    <w:lvl w:ilvl="5">
      <w:start w:val="1"/>
      <w:numFmt w:val="decimal"/>
      <w:lvlText w:val="%1.%2.%3.%4.%5.%6"/>
      <w:lvlJc w:val="start"/>
      <w:pPr>
        <w:tabs>
          <w:tab w:val="num" w:pos="0"/>
        </w:tabs>
        <w:ind w:start="1440" w:hanging="1080"/>
      </w:pPr>
      <w:rPr/>
    </w:lvl>
    <w:lvl w:ilvl="6">
      <w:start w:val="1"/>
      <w:numFmt w:val="decimal"/>
      <w:lvlText w:val="%1.%2.%3.%4.%5.%6.%7"/>
      <w:lvlJc w:val="start"/>
      <w:pPr>
        <w:tabs>
          <w:tab w:val="num" w:pos="0"/>
        </w:tabs>
        <w:ind w:start="1800" w:hanging="1440"/>
      </w:pPr>
      <w:rPr/>
    </w:lvl>
    <w:lvl w:ilvl="7">
      <w:start w:val="1"/>
      <w:numFmt w:val="decimal"/>
      <w:lvlText w:val="%1.%2.%3.%4.%5.%6.%7.%8"/>
      <w:lvlJc w:val="start"/>
      <w:pPr>
        <w:tabs>
          <w:tab w:val="num" w:pos="0"/>
        </w:tabs>
        <w:ind w:start="1800" w:hanging="1440"/>
      </w:pPr>
      <w:rPr/>
    </w:lvl>
    <w:lvl w:ilvl="8">
      <w:start w:val="1"/>
      <w:numFmt w:val="decimal"/>
      <w:lvlText w:val="%1.%2.%3.%4.%5.%6.%7.%8.%9"/>
      <w:lvlJc w:val="start"/>
      <w:pPr>
        <w:tabs>
          <w:tab w:val="num" w:pos="0"/>
        </w:tabs>
        <w:ind w:start="2160" w:hanging="1800"/>
      </w:pPr>
      <w:rPr/>
    </w:lvl>
  </w:abstractNum>
  <w:abstractNum w:abstractNumId="10">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1">
    <w:lvl w:ilvl="0">
      <w:start w:val="1"/>
      <w:numFmt w:val="bullet"/>
      <w:lvlText w:val=""/>
      <w:lvlJc w:val="start"/>
      <w:pPr>
        <w:tabs>
          <w:tab w:val="num" w:pos="0"/>
        </w:tabs>
        <w:ind w:start="720" w:hanging="360"/>
      </w:pPr>
      <w:rPr>
        <w:rFonts w:ascii="Wingdings" w:hAnsi="Wingdings" w:cs="Wingdings" w:hint="default"/>
        <w:color w:val="000000"/>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2">
    <w:lvl w:ilvl="0">
      <w:start w:val="1"/>
      <w:numFmt w:val="lowerLetter"/>
      <w:lvlText w:val="%1)"/>
      <w:lvlJc w:val="start"/>
      <w:pPr>
        <w:tabs>
          <w:tab w:val="num" w:pos="0"/>
        </w:tabs>
        <w:ind w:start="720" w:hanging="360"/>
      </w:pPr>
      <w:rPr>
        <w:b/>
        <w:color w:val="1F497D"/>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13">
    <w:lvl w:ilvl="0">
      <w:start w:val="1"/>
      <w:numFmt w:val="bullet"/>
      <w:lvlText w:val=""/>
      <w:lvlJc w:val="start"/>
      <w:pPr>
        <w:tabs>
          <w:tab w:val="num" w:pos="0"/>
        </w:tabs>
        <w:ind w:start="720" w:hanging="360"/>
      </w:pPr>
      <w:rPr>
        <w:rFonts w:ascii="Symbol" w:hAnsi="Symbol" w:cs="Symbol" w:hint="default"/>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14">
    <w:lvl w:ilvl="0">
      <w:start w:val="1"/>
      <w:numFmt w:val="bullet"/>
      <w:lvlText w:val=""/>
      <w:lvlJc w:val="start"/>
      <w:pPr>
        <w:tabs>
          <w:tab w:val="num" w:pos="0"/>
        </w:tabs>
        <w:ind w:start="720" w:hanging="360"/>
      </w:pPr>
      <w:rPr>
        <w:rFonts w:ascii="Symbol" w:hAnsi="Symbol" w:cs="Symbol" w:hint="default"/>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15">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16">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17">
    <w:lvl w:ilvl="0">
      <w:start w:val="1"/>
      <w:numFmt w:val="decimal"/>
      <w:lvlText w:val="%1."/>
      <w:lvlJc w:val="start"/>
      <w:pPr>
        <w:tabs>
          <w:tab w:val="num" w:pos="0"/>
        </w:tabs>
        <w:ind w:start="1080" w:hanging="360"/>
      </w:pPr>
      <w:rPr/>
    </w:lvl>
    <w:lvl w:ilvl="1">
      <w:start w:val="1"/>
      <w:numFmt w:val="lowerLetter"/>
      <w:lvlText w:val="%2."/>
      <w:lvlJc w:val="start"/>
      <w:pPr>
        <w:tabs>
          <w:tab w:val="num" w:pos="0"/>
        </w:tabs>
        <w:ind w:start="1800" w:hanging="360"/>
      </w:pPr>
      <w:rPr/>
    </w:lvl>
    <w:lvl w:ilvl="2">
      <w:start w:val="1"/>
      <w:numFmt w:val="lowerRoman"/>
      <w:lvlText w:val="%3."/>
      <w:lvlJc w:val="end"/>
      <w:pPr>
        <w:tabs>
          <w:tab w:val="num" w:pos="0"/>
        </w:tabs>
        <w:ind w:start="2520" w:hanging="180"/>
      </w:pPr>
      <w:rPr/>
    </w:lvl>
    <w:lvl w:ilvl="3">
      <w:start w:val="1"/>
      <w:numFmt w:val="decimal"/>
      <w:lvlText w:val="%4."/>
      <w:lvlJc w:val="start"/>
      <w:pPr>
        <w:tabs>
          <w:tab w:val="num" w:pos="0"/>
        </w:tabs>
        <w:ind w:start="3240" w:hanging="360"/>
      </w:pPr>
      <w:rPr/>
    </w:lvl>
    <w:lvl w:ilvl="4">
      <w:start w:val="1"/>
      <w:numFmt w:val="lowerLetter"/>
      <w:lvlText w:val="%5."/>
      <w:lvlJc w:val="start"/>
      <w:pPr>
        <w:tabs>
          <w:tab w:val="num" w:pos="0"/>
        </w:tabs>
        <w:ind w:start="3960" w:hanging="360"/>
      </w:pPr>
      <w:rPr/>
    </w:lvl>
    <w:lvl w:ilvl="5">
      <w:start w:val="1"/>
      <w:numFmt w:val="lowerRoman"/>
      <w:lvlText w:val="%6."/>
      <w:lvlJc w:val="end"/>
      <w:pPr>
        <w:tabs>
          <w:tab w:val="num" w:pos="0"/>
        </w:tabs>
        <w:ind w:start="4680" w:hanging="180"/>
      </w:pPr>
      <w:rPr/>
    </w:lvl>
    <w:lvl w:ilvl="6">
      <w:start w:val="1"/>
      <w:numFmt w:val="decimal"/>
      <w:lvlText w:val="%7."/>
      <w:lvlJc w:val="start"/>
      <w:pPr>
        <w:tabs>
          <w:tab w:val="num" w:pos="0"/>
        </w:tabs>
        <w:ind w:start="5400" w:hanging="360"/>
      </w:pPr>
      <w:rPr/>
    </w:lvl>
    <w:lvl w:ilvl="7">
      <w:start w:val="1"/>
      <w:numFmt w:val="lowerLetter"/>
      <w:lvlText w:val="%8."/>
      <w:lvlJc w:val="start"/>
      <w:pPr>
        <w:tabs>
          <w:tab w:val="num" w:pos="0"/>
        </w:tabs>
        <w:ind w:start="6120" w:hanging="360"/>
      </w:pPr>
      <w:rPr/>
    </w:lvl>
    <w:lvl w:ilvl="8">
      <w:start w:val="1"/>
      <w:numFmt w:val="lowerRoman"/>
      <w:lvlText w:val="%9."/>
      <w:lvlJc w:val="end"/>
      <w:pPr>
        <w:tabs>
          <w:tab w:val="num" w:pos="0"/>
        </w:tabs>
        <w:ind w:start="6840" w:hanging="180"/>
      </w:pPr>
      <w:rPr/>
    </w:lvl>
  </w:abstractNum>
  <w:abstractNum w:abstractNumId="18">
    <w:lvl w:ilvl="0">
      <w:start w:val="1"/>
      <w:numFmt w:val="decimal"/>
      <w:lvlText w:val="%1."/>
      <w:lvlJc w:val="start"/>
      <w:pPr>
        <w:tabs>
          <w:tab w:val="num" w:pos="0"/>
        </w:tabs>
        <w:ind w:start="720" w:hanging="360"/>
      </w:pPr>
      <w:rPr>
        <w:rFonts w:eastAsia="Calibri"/>
        <w:b/>
      </w:rPr>
    </w:lvl>
    <w:lvl w:ilvl="1">
      <w:start w:val="3"/>
      <w:numFmt w:val="decimal"/>
      <w:isLgl/>
      <w:lvlText w:val="%1.%2"/>
      <w:lvlJc w:val="start"/>
      <w:pPr>
        <w:tabs>
          <w:tab w:val="num" w:pos="0"/>
        </w:tabs>
        <w:ind w:start="1833" w:hanging="1125"/>
      </w:pPr>
      <w:rPr/>
    </w:lvl>
    <w:lvl w:ilvl="2">
      <w:start w:val="1"/>
      <w:numFmt w:val="decimal"/>
      <w:isLgl/>
      <w:lvlText w:val="%1.%2.%3"/>
      <w:lvlJc w:val="start"/>
      <w:pPr>
        <w:tabs>
          <w:tab w:val="num" w:pos="0"/>
        </w:tabs>
        <w:ind w:start="2181" w:hanging="1125"/>
      </w:pPr>
      <w:rPr/>
    </w:lvl>
    <w:lvl w:ilvl="3">
      <w:start w:val="1"/>
      <w:numFmt w:val="decimal"/>
      <w:isLgl/>
      <w:lvlText w:val="%1.%2.%3.%4"/>
      <w:lvlJc w:val="start"/>
      <w:pPr>
        <w:tabs>
          <w:tab w:val="num" w:pos="0"/>
        </w:tabs>
        <w:ind w:start="2529" w:hanging="1125"/>
      </w:pPr>
      <w:rPr/>
    </w:lvl>
    <w:lvl w:ilvl="4">
      <w:start w:val="1"/>
      <w:numFmt w:val="decimal"/>
      <w:isLgl/>
      <w:lvlText w:val="%1.%2.%3.%4.%5"/>
      <w:lvlJc w:val="start"/>
      <w:pPr>
        <w:tabs>
          <w:tab w:val="num" w:pos="0"/>
        </w:tabs>
        <w:ind w:start="2877" w:hanging="1125"/>
      </w:pPr>
      <w:rPr/>
    </w:lvl>
    <w:lvl w:ilvl="5">
      <w:start w:val="1"/>
      <w:numFmt w:val="decimal"/>
      <w:isLgl/>
      <w:lvlText w:val="%1.%2.%3.%4.%5.%6"/>
      <w:lvlJc w:val="start"/>
      <w:pPr>
        <w:tabs>
          <w:tab w:val="num" w:pos="0"/>
        </w:tabs>
        <w:ind w:start="3225" w:hanging="1125"/>
      </w:pPr>
      <w:rPr/>
    </w:lvl>
    <w:lvl w:ilvl="6">
      <w:start w:val="1"/>
      <w:numFmt w:val="decimal"/>
      <w:isLgl/>
      <w:lvlText w:val="%1.%2.%3.%4.%5.%6.%7"/>
      <w:lvlJc w:val="start"/>
      <w:pPr>
        <w:tabs>
          <w:tab w:val="num" w:pos="0"/>
        </w:tabs>
        <w:ind w:start="3888" w:hanging="1440"/>
      </w:pPr>
      <w:rPr/>
    </w:lvl>
    <w:lvl w:ilvl="7">
      <w:start w:val="1"/>
      <w:numFmt w:val="decimal"/>
      <w:isLgl/>
      <w:lvlText w:val="%1.%2.%3.%4.%5.%6.%7.%8"/>
      <w:lvlJc w:val="start"/>
      <w:pPr>
        <w:tabs>
          <w:tab w:val="num" w:pos="0"/>
        </w:tabs>
        <w:ind w:start="4236" w:hanging="1440"/>
      </w:pPr>
      <w:rPr/>
    </w:lvl>
    <w:lvl w:ilvl="8">
      <w:start w:val="1"/>
      <w:numFmt w:val="decimal"/>
      <w:isLgl/>
      <w:lvlText w:val="%1.%2.%3.%4.%5.%6.%7.%8.%9"/>
      <w:lvlJc w:val="start"/>
      <w:pPr>
        <w:tabs>
          <w:tab w:val="num" w:pos="0"/>
        </w:tabs>
        <w:ind w:start="4944" w:hanging="1800"/>
      </w:pPr>
      <w:rPr/>
    </w:lvl>
  </w:abstractNum>
  <w:abstractNum w:abstractNumId="1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20"/>
  <w:embedTrueTypeFonts/>
  <w:defaultTabStop w:val="720"/>
  <w:autoHyphenation w:val="true"/>
  <w:hyphenationZone w:val="0"/>
  <w:compat>
    <w:compatSetting w:name="compatibilityMode" w:uri="http://schemas.microsoft.com/office/word" w:val="14"/>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i/>
        <w:iCs/>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start"/>
    </w:pPr>
    <w:rPr>
      <w:rFonts w:eastAsia="Times New Roman" w:ascii="Arial" w:hAnsi="Arial" w:cs="Arial"/>
      <w:i/>
      <w:iCs/>
      <w:color w:val="auto"/>
      <w:kern w:val="0"/>
      <w:sz w:val="20"/>
      <w:szCs w:val="20"/>
      <w:lang w:eastAsia="zh-CN" w:val="es-ES" w:bidi="ar-SA"/>
    </w:rPr>
  </w:style>
  <w:style w:type="paragraph" w:styleId="Heading1">
    <w:name w:val="heading 1"/>
    <w:basedOn w:val="Normal"/>
    <w:next w:val="Normal"/>
    <w:qFormat/>
    <w:pPr>
      <w:keepNext w:val="true"/>
      <w:spacing w:before="240" w:after="0"/>
      <w:outlineLvl w:val="0"/>
    </w:pPr>
    <w:rPr>
      <w:b/>
      <w:caps/>
      <w:shadow/>
      <w:kern w:val="2"/>
      <w:sz w:val="28"/>
    </w:rPr>
  </w:style>
  <w:style w:type="paragraph" w:styleId="Heading2">
    <w:name w:val="heading 2"/>
    <w:basedOn w:val="Normal"/>
    <w:next w:val="Normal"/>
    <w:qFormat/>
    <w:pPr>
      <w:keepNext w:val="true"/>
      <w:outlineLvl w:val="1"/>
    </w:pPr>
    <w:rPr>
      <w:b/>
      <w:i w:val="false"/>
      <w:color w:val="000080"/>
    </w:rPr>
  </w:style>
  <w:style w:type="paragraph" w:styleId="Heading3">
    <w:name w:val="heading 3"/>
    <w:basedOn w:val="Normal"/>
    <w:next w:val="Normal"/>
    <w:qFormat/>
    <w:pPr>
      <w:keepNext w:val="true"/>
      <w:outlineLvl w:val="2"/>
    </w:pPr>
    <w:rPr>
      <w:smallCaps/>
      <w:sz w:val="24"/>
    </w:rPr>
  </w:style>
  <w:style w:type="paragraph" w:styleId="Heading4">
    <w:name w:val="heading 4"/>
    <w:basedOn w:val="Normal"/>
    <w:next w:val="Normal"/>
    <w:qFormat/>
    <w:pPr>
      <w:keepNext w:val="true"/>
      <w:jc w:val="center"/>
      <w:outlineLvl w:val="3"/>
    </w:pPr>
    <w:rPr>
      <w:i w:val="false"/>
      <w:u w:val="single"/>
    </w:rPr>
  </w:style>
  <w:style w:type="paragraph" w:styleId="Heading5">
    <w:name w:val="heading 5"/>
    <w:basedOn w:val="Normal"/>
    <w:next w:val="Normal"/>
    <w:qFormat/>
    <w:pPr>
      <w:keepNext w:val="true"/>
      <w:outlineLvl w:val="4"/>
    </w:pPr>
    <w:rPr>
      <w:i w:val="false"/>
      <w:u w:val="single"/>
    </w:rPr>
  </w:style>
  <w:style w:type="paragraph" w:styleId="Heading6">
    <w:name w:val="heading 6"/>
    <w:basedOn w:val="Normal"/>
    <w:next w:val="Normal"/>
    <w:qFormat/>
    <w:pPr>
      <w:keepNext w:val="true"/>
      <w:jc w:val="center"/>
      <w:outlineLvl w:val="5"/>
    </w:pPr>
    <w:rPr>
      <w:b/>
      <w:i w:val="false"/>
      <w:u w:val="single"/>
    </w:rPr>
  </w:style>
  <w:style w:type="paragraph" w:styleId="Heading7">
    <w:name w:val="heading 7"/>
    <w:basedOn w:val="Normal"/>
    <w:next w:val="Normal"/>
    <w:qFormat/>
    <w:pPr>
      <w:keepNext w:val="true"/>
      <w:jc w:val="center"/>
      <w:outlineLvl w:val="6"/>
    </w:pPr>
    <w:rPr>
      <w:i w:val="false"/>
      <w:sz w:val="22"/>
      <w:u w:val="single"/>
    </w:rPr>
  </w:style>
  <w:style w:type="paragraph" w:styleId="Heading8">
    <w:name w:val="heading 8"/>
    <w:basedOn w:val="Normal"/>
    <w:next w:val="Normal"/>
    <w:qFormat/>
    <w:pPr>
      <w:keepNext w:val="true"/>
      <w:numPr>
        <w:ilvl w:val="0"/>
        <w:numId w:val="6"/>
      </w:numPr>
      <w:outlineLvl w:val="7"/>
    </w:pPr>
    <w:rPr>
      <w:b/>
      <w:i w:val="false"/>
      <w:sz w:val="22"/>
    </w:rPr>
  </w:style>
  <w:style w:type="paragraph" w:styleId="Heading9">
    <w:name w:val="heading 9"/>
    <w:basedOn w:val="Normal"/>
    <w:next w:val="Normal"/>
    <w:qFormat/>
    <w:pPr>
      <w:keepNext w:val="true"/>
      <w:ind w:hanging="360" w:start="720"/>
      <w:outlineLvl w:val="8"/>
    </w:pPr>
    <w:rPr>
      <w:b/>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2z0" w:customStyle="1">
    <w:name w:val="WW8Num2z0"/>
    <w:qFormat/>
    <w:rPr>
      <w:rFonts w:cs="Times New Roman"/>
      <w:i/>
      <w:sz w:val="16"/>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Symbol" w:hAnsi="Symbol" w:cs="Symbol"/>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Arial" w:hAnsi="Arial" w:eastAsia="Times New Roman" w:cs="Times New Roman"/>
    </w:rPr>
  </w:style>
  <w:style w:type="character" w:styleId="WW8Num7z1" w:customStyle="1">
    <w:name w:val="WW8Num7z1"/>
    <w:qFormat/>
    <w:rPr>
      <w:rFonts w:ascii="Courier New" w:hAnsi="Courier New" w:cs="Courier New"/>
    </w:rPr>
  </w:style>
  <w:style w:type="character" w:styleId="WW8Num7z2" w:customStyle="1">
    <w:name w:val="WW8Num7z2"/>
    <w:qFormat/>
    <w:rPr>
      <w:rFonts w:ascii="Wingdings" w:hAnsi="Wingdings" w:cs="Wingdings"/>
    </w:rPr>
  </w:style>
  <w:style w:type="character" w:styleId="WW8Num7z3" w:customStyle="1">
    <w:name w:val="WW8Num7z3"/>
    <w:qFormat/>
    <w:rPr>
      <w:rFonts w:ascii="Symbol" w:hAnsi="Symbol" w:cs="Symbol"/>
    </w:rPr>
  </w:style>
  <w:style w:type="character" w:styleId="WW8Num8z0" w:customStyle="1">
    <w:name w:val="WW8Num8z0"/>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b/>
      <w:color w:val="1F497D"/>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ascii="Arial" w:hAnsi="Arial" w:eastAsia="Times New Roman" w:cs="Arial"/>
      <w:sz w:val="22"/>
      <w:szCs w:val="22"/>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WW8Num10z3" w:customStyle="1">
    <w:name w:val="WW8Num10z3"/>
    <w:qFormat/>
    <w:rPr>
      <w:rFonts w:ascii="Symbol" w:hAnsi="Symbol" w:cs="Symbol"/>
    </w:rPr>
  </w:style>
  <w:style w:type="character" w:styleId="WW8Num11z0" w:customStyle="1">
    <w:name w:val="WW8Num11z0"/>
    <w:qFormat/>
    <w:rPr>
      <w:rFonts w:ascii="Arial" w:hAnsi="Arial" w:eastAsia="Calibri" w:cs="Arial"/>
      <w:b/>
      <w:lang w:val="es-ES_tradnl"/>
    </w:rPr>
  </w:style>
  <w:style w:type="character" w:styleId="WW8Num11z1" w:customStyle="1">
    <w:name w:val="WW8Num11z1"/>
    <w:qFormat/>
    <w:rPr/>
  </w:style>
  <w:style w:type="character" w:styleId="WW8Num12z0" w:customStyle="1">
    <w:name w:val="WW8Num12z0"/>
    <w:qFormat/>
    <w:rPr/>
  </w:style>
  <w:style w:type="character" w:styleId="WW8Num12z1" w:customStyle="1">
    <w:name w:val="WW8Num12z1"/>
    <w:qFormat/>
    <w:rPr/>
  </w:style>
  <w:style w:type="character" w:styleId="WW8Num12z2" w:customStyle="1">
    <w:name w:val="WW8Num12z2"/>
    <w:qFormat/>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style>
  <w:style w:type="character" w:styleId="WW8Num13z1" w:customStyle="1">
    <w:name w:val="WW8Num13z1"/>
    <w:qFormat/>
    <w:rPr/>
  </w:style>
  <w:style w:type="character" w:styleId="WW8Num13z2" w:customStyle="1">
    <w:name w:val="WW8Num13z2"/>
    <w:qFormat/>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0" w:customStyle="1">
    <w:name w:val="WW8Num14z0"/>
    <w:qFormat/>
    <w:rPr>
      <w:b w:val="false"/>
      <w:i w:val="false"/>
      <w:sz w:val="22"/>
    </w:rPr>
  </w:style>
  <w:style w:type="character" w:styleId="WW8Num15z0" w:customStyle="1">
    <w:name w:val="WW8Num15z0"/>
    <w:qFormat/>
    <w:rPr>
      <w:rFonts w:eastAsia="Arial"/>
      <w:b/>
      <w:bCs/>
      <w:i w:val="false"/>
      <w:sz w:val="14"/>
      <w:szCs w:val="14"/>
      <w:vertAlign w:val="superscrip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i/>
      <w:position w:val="0"/>
      <w:sz w:val="16"/>
      <w:szCs w:val="16"/>
      <w:vertAlign w:val="baseline"/>
    </w:rPr>
  </w:style>
  <w:style w:type="character" w:styleId="WW8Num16z1" w:customStyle="1">
    <w:name w:val="WW8Num16z1"/>
    <w:qFormat/>
    <w:rPr>
      <w:position w:val="0"/>
      <w:sz w:val="24"/>
      <w:vertAlign w:val="baseline"/>
    </w:rPr>
  </w:style>
  <w:style w:type="character" w:styleId="WW8Num17z0" w:customStyle="1">
    <w:name w:val="WW8Num17z0"/>
    <w:qFormat/>
    <w:rPr>
      <w:b/>
      <w:color w:val="0070C0"/>
      <w:sz w:val="22"/>
    </w:rPr>
  </w:style>
  <w:style w:type="character" w:styleId="WW8Num17z2" w:customStyle="1">
    <w:name w:val="WW8Num17z2"/>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style>
  <w:style w:type="character" w:styleId="WW8Num19z1" w:customStyle="1">
    <w:name w:val="WW8Num19z1"/>
    <w:qFormat/>
    <w:rPr/>
  </w:style>
  <w:style w:type="character" w:styleId="WW8Num19z2" w:customStyle="1">
    <w:name w:val="WW8Num19z2"/>
    <w:qFormat/>
    <w:rPr/>
  </w:style>
  <w:style w:type="character" w:styleId="WW8Num19z3" w:customStyle="1">
    <w:name w:val="WW8Num19z3"/>
    <w:qFormat/>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rFonts w:ascii="Symbol" w:hAnsi="Symbol" w:eastAsia="Calibri" w:cs="Arial"/>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style>
  <w:style w:type="character" w:styleId="WW8Num22z0" w:customStyle="1">
    <w:name w:val="WW8Num22z0"/>
    <w:qFormat/>
    <w:rPr/>
  </w:style>
  <w:style w:type="character" w:styleId="WW8Num22z1" w:customStyle="1">
    <w:name w:val="WW8Num22z1"/>
    <w:qFormat/>
    <w:rPr/>
  </w:style>
  <w:style w:type="character" w:styleId="WW8Num22z2" w:customStyle="1">
    <w:name w:val="WW8Num22z2"/>
    <w:qFormat/>
    <w:rPr/>
  </w:style>
  <w:style w:type="character" w:styleId="WW8Num22z3" w:customStyle="1">
    <w:name w:val="WW8Num22z3"/>
    <w:qFormat/>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tyle>
  <w:style w:type="character" w:styleId="WW8Num23z1" w:customStyle="1">
    <w:name w:val="WW8Num23z1"/>
    <w:qFormat/>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tyle>
  <w:style w:type="character" w:styleId="WW8Num24z1" w:customStyle="1">
    <w:name w:val="WW8Num24z1"/>
    <w:qFormat/>
    <w:rPr>
      <w:color w:val="1F497D"/>
    </w:rPr>
  </w:style>
  <w:style w:type="character" w:styleId="WW8Num25z0" w:customStyle="1">
    <w:name w:val="WW8Num25z0"/>
    <w:qFormat/>
    <w:rPr>
      <w:b/>
    </w:rPr>
  </w:style>
  <w:style w:type="character" w:styleId="WW8Num25z1" w:customStyle="1">
    <w:name w:val="WW8Num25z1"/>
    <w:qFormat/>
    <w:rPr>
      <w:color w:val="0070C0"/>
    </w:rPr>
  </w:style>
  <w:style w:type="character" w:styleId="WW8Num25z2" w:customStyle="1">
    <w:name w:val="WW8Num25z2"/>
    <w:qFormat/>
    <w:rPr/>
  </w:style>
  <w:style w:type="character" w:styleId="PageNumber">
    <w:name w:val="page number"/>
    <w:basedOn w:val="DefaultParagraphFont"/>
    <w:rPr/>
  </w:style>
  <w:style w:type="character" w:styleId="EstndarCar" w:customStyle="1">
    <w:name w:val="Estándar Car"/>
    <w:qFormat/>
    <w:rPr>
      <w:rFonts w:ascii="Arial" w:hAnsi="Arial" w:cs="Arial"/>
      <w:color w:val="000000"/>
      <w:sz w:val="24"/>
      <w:lang w:val="es-ES" w:bidi="ar-SA"/>
    </w:rPr>
  </w:style>
  <w:style w:type="character" w:styleId="FootnoteCharacters" w:customStyle="1">
    <w:name w:val="Footnote Characters"/>
    <w:qFormat/>
    <w:rPr>
      <w:vertAlign w:val="superscript"/>
    </w:rPr>
  </w:style>
  <w:style w:type="character" w:styleId="Textoindependiente2Car" w:customStyle="1">
    <w:name w:val="Texto independiente 2 Car"/>
    <w:qFormat/>
    <w:rPr>
      <w:rFonts w:ascii="Arial" w:hAnsi="Arial" w:cs="Arial"/>
      <w:sz w:val="22"/>
      <w:u w:val="single"/>
    </w:rPr>
  </w:style>
  <w:style w:type="character" w:styleId="TextodegloboCar" w:customStyle="1">
    <w:name w:val="Texto de globo Car"/>
    <w:qFormat/>
    <w:rPr>
      <w:rFonts w:ascii="Tahoma" w:hAnsi="Tahoma" w:cs="Tahoma"/>
      <w:i/>
      <w:sz w:val="16"/>
      <w:szCs w:val="16"/>
    </w:rPr>
  </w:style>
  <w:style w:type="character" w:styleId="InternetLink" w:customStyle="1">
    <w:name w:val="Internet Link"/>
    <w:qFormat/>
    <w:rPr>
      <w:color w:val="0000FF"/>
      <w:u w:val="single"/>
    </w:rPr>
  </w:style>
  <w:style w:type="character" w:styleId="VisitedInternetLink" w:customStyle="1">
    <w:name w:val="Visited Internet Link"/>
    <w:qFormat/>
    <w:rPr>
      <w:color w:val="800080"/>
      <w:u w:val="single"/>
    </w:rPr>
  </w:style>
  <w:style w:type="character" w:styleId="TtuloCar" w:customStyle="1">
    <w:name w:val="Título Car"/>
    <w:qFormat/>
    <w:rPr>
      <w:rFonts w:ascii="Cambria" w:hAnsi="Cambria" w:eastAsia="Times New Roman" w:cs="Times New Roman"/>
      <w:b/>
      <w:bCs/>
      <w:i/>
      <w:kern w:val="2"/>
      <w:sz w:val="32"/>
      <w:szCs w:val="32"/>
    </w:rPr>
  </w:style>
  <w:style w:type="character" w:styleId="CommentReference">
    <w:name w:val="annotation reference"/>
    <w:qFormat/>
    <w:rPr>
      <w:sz w:val="16"/>
      <w:szCs w:val="16"/>
    </w:rPr>
  </w:style>
  <w:style w:type="character" w:styleId="TextocomentarioCar" w:customStyle="1">
    <w:name w:val="Texto comentario Car"/>
    <w:qFormat/>
    <w:rPr>
      <w:rFonts w:ascii="Arial" w:hAnsi="Arial" w:cs="Arial"/>
      <w:i/>
    </w:rPr>
  </w:style>
  <w:style w:type="character" w:styleId="AsuntodelcomentarioCar" w:customStyle="1">
    <w:name w:val="Asunto del comentario Car"/>
    <w:qFormat/>
    <w:rPr>
      <w:rFonts w:ascii="Arial" w:hAnsi="Arial" w:cs="Arial"/>
      <w:b/>
      <w:bCs/>
      <w:i/>
    </w:rPr>
  </w:style>
  <w:style w:type="character" w:styleId="Ttulo9Car" w:customStyle="1">
    <w:name w:val="Título 9 Car"/>
    <w:qFormat/>
    <w:rPr>
      <w:rFonts w:ascii="Arial" w:hAnsi="Arial" w:cs="Arial"/>
      <w:b/>
      <w:i/>
      <w:lang w:val="es-ES"/>
    </w:rPr>
  </w:style>
  <w:style w:type="character" w:styleId="PiedepginaCar" w:customStyle="1">
    <w:name w:val="Pie de página Car"/>
    <w:qFormat/>
    <w:rPr>
      <w:rFonts w:ascii="Arial" w:hAnsi="Arial" w:cs="Arial"/>
      <w:i/>
      <w:lang w:val="es-ES"/>
    </w:rPr>
  </w:style>
  <w:style w:type="character" w:styleId="FootnoteAnchor" w:customStyle="1">
    <w:name w:val="Footnote Anchor"/>
    <w:qFormat/>
    <w:rPr>
      <w:vertAlign w:val="superscript"/>
    </w:rPr>
  </w:style>
  <w:style w:type="character" w:styleId="EndnoteAnchor" w:customStyle="1">
    <w:name w:val="Endnote Anchor"/>
    <w:qFormat/>
    <w:rPr>
      <w:vertAlign w:val="superscript"/>
    </w:rPr>
  </w:style>
  <w:style w:type="character" w:styleId="EndnoteCharacters" w:customStyle="1">
    <w:name w:val="Endnote Characters"/>
    <w:qFormat/>
    <w:rPr/>
  </w:style>
  <w:style w:type="character" w:styleId="Strong">
    <w:name w:val="Strong"/>
    <w:uiPriority w:val="22"/>
    <w:qFormat/>
    <w:rsid w:val="00c52e28"/>
    <w:rPr>
      <w:b/>
      <w:bCs/>
    </w:rPr>
  </w:style>
  <w:style w:type="character" w:styleId="Hyperlink">
    <w:name w:val="Hyperlink"/>
    <w:rPr>
      <w:color w:val="000080"/>
      <w:u w:val="single"/>
    </w:rPr>
  </w:style>
  <w:style w:type="paragraph" w:styleId="Ttulo" w:customStyle="1">
    <w:name w:val="Título"/>
    <w:basedOn w:val="Normal"/>
    <w:next w:val="Normal"/>
    <w:qFormat/>
    <w:pPr>
      <w:spacing w:before="240" w:after="60"/>
      <w:jc w:val="center"/>
      <w:outlineLvl w:val="0"/>
    </w:pPr>
    <w:rPr>
      <w:rFonts w:ascii="Cambria" w:hAnsi="Cambria" w:cs="Times New Roman"/>
      <w:b/>
      <w:bCs/>
      <w:kern w:val="2"/>
      <w:sz w:val="32"/>
      <w:szCs w:val="32"/>
    </w:rPr>
  </w:style>
  <w:style w:type="paragraph" w:styleId="BodyText">
    <w:name w:val="Body Text"/>
    <w:basedOn w:val="Normal"/>
    <w:pPr>
      <w:jc w:val="both"/>
    </w:pPr>
    <w:rPr>
      <w:i w:val="false"/>
      <w:color w:val="000000"/>
      <w:sz w:val="22"/>
    </w:rPr>
  </w:style>
  <w:style w:type="paragraph" w:styleId="List">
    <w:name w:val="List"/>
    <w:basedOn w:val="BodyText"/>
    <w:pPr/>
    <w:rPr/>
  </w:style>
  <w:style w:type="paragraph" w:styleId="Caption">
    <w:name w:val="caption"/>
    <w:basedOn w:val="Normal"/>
    <w:qFormat/>
    <w:pPr>
      <w:suppressLineNumbers/>
      <w:spacing w:before="120" w:after="120"/>
    </w:pPr>
    <w:rPr>
      <w:sz w:val="24"/>
      <w:szCs w:val="24"/>
    </w:rPr>
  </w:style>
  <w:style w:type="paragraph" w:styleId="ndice" w:customStyle="1">
    <w:name w:val="Índice"/>
    <w:basedOn w:val="Normal"/>
    <w:qFormat/>
    <w:pPr>
      <w:suppressLineNumbers/>
    </w:pPr>
    <w:rPr/>
  </w:style>
  <w:style w:type="paragraph" w:styleId="Title">
    <w:name w:val="Title"/>
    <w:basedOn w:val="Normal"/>
    <w:next w:val="Normal"/>
    <w:qFormat/>
    <w:pPr>
      <w:keepNext w:val="true"/>
      <w:keepLines/>
      <w:spacing w:before="480" w:after="120"/>
    </w:pPr>
    <w:rPr>
      <w:b/>
      <w:sz w:val="72"/>
      <w:szCs w:val="72"/>
    </w:rPr>
  </w:style>
  <w:style w:type="paragraph" w:styleId="Cabeceraypie">
    <w:name w:val="Cabecera y pie"/>
    <w:basedOn w:val="Normal"/>
    <w:qFormat/>
    <w:pPr/>
    <w:rPr/>
  </w:style>
  <w:style w:type="paragraph" w:styleId="Header">
    <w:name w:val="header"/>
    <w:basedOn w:val="Normal"/>
    <w:pPr>
      <w:tabs>
        <w:tab w:val="clear" w:pos="720"/>
        <w:tab w:val="center" w:pos="4252" w:leader="none"/>
        <w:tab w:val="right" w:pos="8504" w:leader="none"/>
      </w:tabs>
    </w:pPr>
    <w:rPr>
      <w:lang w:val="es-ES_tradnl"/>
    </w:rPr>
  </w:style>
  <w:style w:type="paragraph" w:styleId="Esper" w:customStyle="1">
    <w:name w:val="Esper"/>
    <w:basedOn w:val="Normal"/>
    <w:qFormat/>
    <w:pPr/>
    <w:rPr>
      <w:sz w:val="18"/>
      <w:lang w:val="en-US"/>
    </w:rPr>
  </w:style>
  <w:style w:type="paragraph" w:styleId="Est1" w:customStyle="1">
    <w:name w:val="Est1"/>
    <w:basedOn w:val="Normal"/>
    <w:qFormat/>
    <w:pPr>
      <w:widowControl w:val="false"/>
      <w:tabs>
        <w:tab w:val="clear" w:pos="720"/>
        <w:tab w:val="left" w:pos="90" w:leader="none"/>
      </w:tabs>
      <w:spacing w:before="120" w:after="0"/>
    </w:pPr>
    <w:rPr>
      <w:b/>
      <w:color w:val="000000"/>
      <w:sz w:val="16"/>
      <w:u w:val="single"/>
      <w:lang w:val="es-ES_tradnl"/>
    </w:rPr>
  </w:style>
  <w:style w:type="paragraph" w:styleId="Estilo1" w:customStyle="1">
    <w:name w:val="Estilo1"/>
    <w:basedOn w:val="Normal"/>
    <w:qFormat/>
    <w:pPr>
      <w:tabs>
        <w:tab w:val="clear" w:pos="720"/>
        <w:tab w:val="left" w:pos="844" w:leader="none"/>
      </w:tabs>
      <w:ind w:start="851" w:end="652"/>
    </w:pPr>
    <w:rPr>
      <w:sz w:val="18"/>
      <w:lang w:val="en-US"/>
    </w:rPr>
  </w:style>
  <w:style w:type="paragraph" w:styleId="Estilo2" w:customStyle="1">
    <w:name w:val="Estilo2"/>
    <w:basedOn w:val="Normal"/>
    <w:qFormat/>
    <w:pPr>
      <w:tabs>
        <w:tab w:val="clear" w:pos="720"/>
        <w:tab w:val="left" w:pos="1477" w:leader="none"/>
        <w:tab w:val="left" w:pos="4431" w:leader="none"/>
        <w:tab w:val="left" w:pos="7385" w:leader="none"/>
      </w:tabs>
    </w:pPr>
    <w:rPr>
      <w:sz w:val="18"/>
      <w:lang w:val="en-US"/>
    </w:rPr>
  </w:style>
  <w:style w:type="paragraph" w:styleId="EstiloCentros" w:customStyle="1">
    <w:name w:val="EstiloCentros"/>
    <w:basedOn w:val="Normal"/>
    <w:qFormat/>
    <w:pPr>
      <w:tabs>
        <w:tab w:val="clear" w:pos="720"/>
        <w:tab w:val="center" w:pos="1843" w:leader="none"/>
        <w:tab w:val="center" w:pos="5103" w:leader="none"/>
        <w:tab w:val="center" w:pos="7655" w:leader="none"/>
      </w:tabs>
    </w:pPr>
    <w:rPr>
      <w:sz w:val="18"/>
      <w:lang w:val="es-ES_tradnl"/>
    </w:rPr>
  </w:style>
  <w:style w:type="paragraph" w:styleId="Estilofecha" w:customStyle="1">
    <w:name w:val="Estilofecha"/>
    <w:basedOn w:val="Normal"/>
    <w:next w:val="Normal"/>
    <w:qFormat/>
    <w:pPr>
      <w:spacing w:before="120" w:after="0"/>
      <w:jc w:val="end"/>
    </w:pPr>
    <w:rPr>
      <w:sz w:val="18"/>
      <w:lang w:val="es-ES_tradnl"/>
    </w:rPr>
  </w:style>
  <w:style w:type="paragraph" w:styleId="EstiloFirma" w:customStyle="1">
    <w:name w:val="EstiloFirma"/>
    <w:basedOn w:val="Normal"/>
    <w:qFormat/>
    <w:pPr>
      <w:tabs>
        <w:tab w:val="clear" w:pos="720"/>
        <w:tab w:val="center" w:pos="1985" w:leader="none"/>
        <w:tab w:val="left" w:pos="5670" w:leader="none"/>
      </w:tabs>
    </w:pPr>
    <w:rPr>
      <w:sz w:val="18"/>
      <w:lang w:val="es-ES_tradnl"/>
    </w:rPr>
  </w:style>
  <w:style w:type="paragraph" w:styleId="EstiloParrafo" w:customStyle="1">
    <w:name w:val="EstiloParrafo"/>
    <w:basedOn w:val="Normal"/>
    <w:qFormat/>
    <w:pPr>
      <w:tabs>
        <w:tab w:val="clear" w:pos="720"/>
        <w:tab w:val="left" w:pos="6" w:leader="none"/>
      </w:tabs>
    </w:pPr>
    <w:rPr>
      <w:lang w:val="es-ES_tradnl"/>
    </w:rPr>
  </w:style>
  <w:style w:type="paragraph" w:styleId="EstiloParrafoNeg" w:customStyle="1">
    <w:name w:val="EstiloParrafoNeg"/>
    <w:basedOn w:val="EstiloParrafo"/>
    <w:qFormat/>
    <w:pPr/>
    <w:rPr>
      <w:b/>
    </w:rPr>
  </w:style>
  <w:style w:type="paragraph" w:styleId="EstiloTitulo" w:customStyle="1">
    <w:name w:val="EstiloTitulo"/>
    <w:basedOn w:val="Normal"/>
    <w:next w:val="Estilofecha"/>
    <w:qFormat/>
    <w:pPr>
      <w:jc w:val="center"/>
    </w:pPr>
    <w:rPr>
      <w:b/>
      <w:sz w:val="24"/>
      <w:lang w:val="es-ES_tradnl"/>
    </w:rPr>
  </w:style>
  <w:style w:type="paragraph" w:styleId="EstiloTitulo2" w:customStyle="1">
    <w:name w:val="EstiloTitulo2"/>
    <w:basedOn w:val="Normal"/>
    <w:qFormat/>
    <w:pPr>
      <w:spacing w:before="120" w:after="0"/>
      <w:jc w:val="center"/>
    </w:pPr>
    <w:rPr>
      <w:lang w:val="es-ES_tradnl"/>
    </w:rPr>
  </w:style>
  <w:style w:type="paragraph" w:styleId="EstiloTitulo3" w:customStyle="1">
    <w:name w:val="EstiloTitulo3"/>
    <w:basedOn w:val="EstiloTitulo2"/>
    <w:qFormat/>
    <w:pPr/>
    <w:rPr>
      <w:u w:val="single"/>
    </w:rPr>
  </w:style>
  <w:style w:type="paragraph" w:styleId="EstiloTitulo4" w:customStyle="1">
    <w:name w:val="EstiloTitulo4"/>
    <w:basedOn w:val="Normal"/>
    <w:qFormat/>
    <w:pPr/>
    <w:rPr>
      <w:b/>
      <w:lang w:val="es-ES_tradnl"/>
    </w:rPr>
  </w:style>
  <w:style w:type="paragraph" w:styleId="EstiloTotales" w:customStyle="1">
    <w:name w:val="EstiloTotales"/>
    <w:basedOn w:val="EstiloParrafo"/>
    <w:qFormat/>
    <w:pPr>
      <w:tabs>
        <w:tab w:val="left" w:pos="1701" w:leader="none"/>
        <w:tab w:val="right" w:pos="7088" w:leader="none"/>
        <w:tab w:val="right" w:pos="9639" w:leader="none"/>
      </w:tabs>
    </w:pPr>
    <w:rPr/>
  </w:style>
  <w:style w:type="paragraph" w:styleId="Estilovi" w:customStyle="1">
    <w:name w:val="Estiloviñ"/>
    <w:basedOn w:val="Normal"/>
    <w:qFormat/>
    <w:pPr>
      <w:tabs>
        <w:tab w:val="clear" w:pos="720"/>
        <w:tab w:val="right" w:pos="2977" w:leader="none"/>
        <w:tab w:val="center" w:pos="4820" w:leader="none"/>
        <w:tab w:val="right" w:pos="8080" w:leader="none"/>
      </w:tabs>
    </w:pPr>
    <w:rPr>
      <w:sz w:val="18"/>
      <w:lang w:val="es-ES_tradnl"/>
    </w:rPr>
  </w:style>
  <w:style w:type="paragraph" w:styleId="EstiloVieta" w:customStyle="1">
    <w:name w:val="EstiloViñeta"/>
    <w:basedOn w:val="Normal"/>
    <w:qFormat/>
    <w:pPr>
      <w:tabs>
        <w:tab w:val="clear" w:pos="720"/>
        <w:tab w:val="left" w:pos="567" w:leader="none"/>
      </w:tabs>
      <w:ind w:hanging="284" w:start="681"/>
    </w:pPr>
    <w:rPr>
      <w:sz w:val="18"/>
      <w:lang w:val="es-ES_tradnl"/>
    </w:rPr>
  </w:style>
  <w:style w:type="paragraph" w:styleId="Firmas" w:customStyle="1">
    <w:name w:val="Firmas"/>
    <w:basedOn w:val="EstiloParrafo"/>
    <w:qFormat/>
    <w:pPr>
      <w:tabs>
        <w:tab w:val="left" w:pos="1560" w:leader="none"/>
        <w:tab w:val="left" w:pos="5954" w:leader="none"/>
      </w:tabs>
    </w:pPr>
    <w:rPr/>
  </w:style>
  <w:style w:type="paragraph" w:styleId="Footer">
    <w:name w:val="footer"/>
    <w:basedOn w:val="Normal"/>
    <w:pPr>
      <w:tabs>
        <w:tab w:val="clear" w:pos="720"/>
        <w:tab w:val="center" w:pos="4252" w:leader="none"/>
        <w:tab w:val="right" w:pos="8504" w:leader="none"/>
      </w:tabs>
    </w:pPr>
    <w:rPr/>
  </w:style>
  <w:style w:type="paragraph" w:styleId="PlainText">
    <w:name w:val="Plain Text"/>
    <w:basedOn w:val="Normal"/>
    <w:qFormat/>
    <w:pPr/>
    <w:rPr/>
  </w:style>
  <w:style w:type="paragraph" w:styleId="Titulo" w:customStyle="1">
    <w:name w:val="Titulo"/>
    <w:basedOn w:val="Normal"/>
    <w:qFormat/>
    <w:pPr>
      <w:spacing w:before="120" w:after="120"/>
      <w:jc w:val="center"/>
    </w:pPr>
    <w:rPr>
      <w:sz w:val="18"/>
      <w:lang w:val="en-US"/>
    </w:rPr>
  </w:style>
  <w:style w:type="paragraph" w:styleId="Estndar" w:customStyle="1">
    <w:name w:val="Estándar"/>
    <w:qFormat/>
    <w:pPr>
      <w:widowControl/>
      <w:bidi w:val="0"/>
      <w:spacing w:before="0" w:after="0"/>
      <w:jc w:val="both"/>
    </w:pPr>
    <w:rPr>
      <w:rFonts w:eastAsia="Times New Roman" w:ascii="Arial" w:hAnsi="Arial" w:cs="Arial"/>
      <w:i/>
      <w:iCs/>
      <w:color w:val="000000"/>
      <w:kern w:val="0"/>
      <w:sz w:val="24"/>
      <w:szCs w:val="20"/>
      <w:lang w:eastAsia="zh-CN" w:val="es-ES" w:bidi="ar-SA"/>
    </w:rPr>
  </w:style>
  <w:style w:type="paragraph" w:styleId="BodyTextIndent">
    <w:name w:val="Body Text Indent"/>
    <w:basedOn w:val="Normal"/>
    <w:pPr>
      <w:tabs>
        <w:tab w:val="clear" w:pos="720"/>
        <w:tab w:val="left" w:pos="709" w:leader="none"/>
      </w:tabs>
      <w:ind w:hanging="709" w:start="709"/>
    </w:pPr>
    <w:rPr>
      <w:b/>
      <w:i w:val="false"/>
      <w:sz w:val="22"/>
    </w:rPr>
  </w:style>
  <w:style w:type="paragraph" w:styleId="BodyText2">
    <w:name w:val="Body Text 2"/>
    <w:basedOn w:val="Normal"/>
    <w:qFormat/>
    <w:pPr>
      <w:jc w:val="both"/>
    </w:pPr>
    <w:rPr>
      <w:i w:val="false"/>
      <w:sz w:val="22"/>
      <w:u w:val="single"/>
    </w:rPr>
  </w:style>
  <w:style w:type="paragraph" w:styleId="BodyText3">
    <w:name w:val="Body Text 3"/>
    <w:basedOn w:val="Normal"/>
    <w:qFormat/>
    <w:pPr>
      <w:jc w:val="both"/>
    </w:pPr>
    <w:rPr>
      <w:i w:val="false"/>
      <w:sz w:val="22"/>
    </w:rPr>
  </w:style>
  <w:style w:type="paragraph" w:styleId="BodyTextIndent2">
    <w:name w:val="Body Text Indent 2"/>
    <w:basedOn w:val="Normal"/>
    <w:qFormat/>
    <w:pPr>
      <w:ind w:hanging="1416" w:start="2124"/>
      <w:jc w:val="both"/>
    </w:pPr>
    <w:rPr>
      <w:i w:val="false"/>
      <w:sz w:val="22"/>
    </w:rPr>
  </w:style>
  <w:style w:type="paragraph" w:styleId="BalloonText">
    <w:name w:val="Balloon Text"/>
    <w:basedOn w:val="Normal"/>
    <w:qFormat/>
    <w:pPr/>
    <w:rPr>
      <w:rFonts w:ascii="Tahoma" w:hAnsi="Tahoma" w:cs="Tahoma"/>
      <w:sz w:val="16"/>
      <w:szCs w:val="16"/>
    </w:rPr>
  </w:style>
  <w:style w:type="paragraph" w:styleId="ListParagraph">
    <w:name w:val="List Paragraph"/>
    <w:basedOn w:val="Normal"/>
    <w:uiPriority w:val="34"/>
    <w:qFormat/>
    <w:pPr>
      <w:spacing w:lineRule="auto" w:line="276" w:before="0" w:after="200"/>
      <w:ind w:start="720"/>
      <w:contextualSpacing/>
    </w:pPr>
    <w:rPr>
      <w:rFonts w:ascii="Calibri" w:hAnsi="Calibri" w:eastAsia="Calibri" w:cs="Times New Roman"/>
      <w:i w:val="false"/>
      <w:sz w:val="22"/>
      <w:szCs w:val="22"/>
    </w:rPr>
  </w:style>
  <w:style w:type="paragraph" w:styleId="CommentText">
    <w:name w:val="annotation text"/>
    <w:basedOn w:val="Normal"/>
    <w:qFormat/>
    <w:pPr/>
    <w:rPr/>
  </w:style>
  <w:style w:type="paragraph" w:styleId="annotationsubject">
    <w:name w:val="annotation subject"/>
    <w:basedOn w:val="CommentText"/>
    <w:next w:val="CommentText"/>
    <w:qFormat/>
    <w:pPr/>
    <w:rPr>
      <w:b/>
      <w:bCs/>
    </w:rPr>
  </w:style>
  <w:style w:type="paragraph" w:styleId="NormalWeb">
    <w:name w:val="Normal (Web)"/>
    <w:basedOn w:val="Normal"/>
    <w:qFormat/>
    <w:pPr>
      <w:spacing w:before="100" w:after="100"/>
    </w:pPr>
    <w:rPr>
      <w:rFonts w:ascii="Times New Roman" w:hAnsi="Times New Roman" w:cs="Times New Roman"/>
      <w:i w:val="false"/>
      <w:sz w:val="24"/>
      <w:szCs w:val="24"/>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FootnoteText">
    <w:name w:val="footnote text"/>
    <w:basedOn w:val="Normal"/>
    <w:pPr>
      <w:suppressLineNumbers/>
      <w:ind w:hanging="339" w:start="339"/>
    </w:pPr>
    <w:rPr/>
  </w:style>
  <w:style w:type="paragraph" w:styleId="Subtitle">
    <w:name w:val="Subtitle"/>
    <w:basedOn w:val="Normal"/>
    <w:next w:val="Normal"/>
    <w:qFormat/>
    <w:pPr>
      <w:keepNext w:val="true"/>
      <w:keepLines/>
      <w:spacing w:before="360" w:after="80"/>
    </w:pPr>
    <w:rPr>
      <w:rFonts w:ascii="Georgia" w:hAnsi="Georgia" w:eastAsia="Georgia" w:cs="Georgia"/>
      <w:color w:val="666666"/>
      <w:sz w:val="48"/>
      <w:szCs w:val="48"/>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sepeyo@asepeyo.e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Qwd6LnhLZmx6COBhP6Iw7MWYXg==">CgMxLjAaDQoBMBIICgYIBTICCAEyEGtpeC43ZTcxcjk4d25tcG0yEGtpeC5xOHNxZWl3OHM4cXEyEGtpeC40MnZuZHZqcHVpcWgyEGtpeC5sYzVrZGtoczhqd2syCWguMXQzaDVzZjIJaWQuZ2pkZ3hzMghoLmdqZGd4czIKaWQuNGs2NjhuMzIKaWQuMzBqMHpsbDIQa2l4LmVxNXNleWxsMTdrZzIKaWQuM3pueXNoNzIKaWQuMmV0OTJwMDIKaWQuM3JkY3JqbjIKaWQuMjZpbjFyZzIJaWQubG54Yno5OAByITEtakJMUGZZWDlCQmY0Y1JEeEdlaVpTWVNmV2pJZGdC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4A84E07A.dotm</Template>
  <TotalTime>98</TotalTime>
  <Application>LibreOffice/26.2.3.2$Windows_X86_64 LibreOffice_project/70e089b17412e4cb7773e41413306b17a2328c34</Application>
  <AppVersion>15.0000</AppVersion>
  <Pages>21</Pages>
  <Words>4687</Words>
  <Characters>26928</Characters>
  <CharactersWithSpaces>31586</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2026-05-05T12:05:00Z</dcterms:created>
  <dc:creator>14637</dc:creator>
  <dc:description/>
  <dc:language>es-ES</dc:language>
  <cp:lastModifiedBy/>
  <cp:lastPrinted>2026-06-30T11:41:00Z</cp:lastPrinted>
  <dcterms:modified xsi:type="dcterms:W3CDTF">2026-07-09T09:15:05Z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