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0"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ind w:left="0" w:hanging="2"/>
        <w:jc w:val="both"/>
        <w:rPr>
          <w:b w:val="1"/>
          <w:bCs w:val="1"/>
          <w:i w:val="0"/>
          <w:iCs w:val="0"/>
          <w:sz w:val="22"/>
          <w:szCs w:val="22"/>
        </w:rPr>
      </w:pPr>
      <w:r w:rsidDel="00000000" w:rsidR="00000000" w:rsidRPr="00000000">
        <w:rPr>
          <w:b w:val="1"/>
          <w:bCs w:val="1"/>
          <w:i w:val="0"/>
          <w:iCs w:val="0"/>
          <w:sz w:val="22"/>
          <w:szCs w:val="22"/>
          <w:rtl w:val="0"/>
        </w:rPr>
        <w:t xml:space="preserve">1- Datos subcontratación:</w:t>
      </w:r>
    </w:p>
    <w:p w:rsidR="00000000" w:rsidDel="00000000" w:rsidP="00000000" w:rsidRDefault="00000000" w:rsidRPr="00000000" w14:paraId="00000003">
      <w:pPr>
        <w:pBdr>
          <w:top w:space="0" w:sz="0" w:val="nil"/>
          <w:left w:space="0" w:sz="0" w:val="nil"/>
          <w:bottom w:space="0" w:sz="0" w:val="nil"/>
          <w:right w:space="0" w:sz="0" w:val="nil"/>
          <w:between w:space="0" w:sz="0" w:val="nil"/>
        </w:pBdr>
        <w:ind w:left="0"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0" w:hanging="2"/>
        <w:jc w:val="both"/>
        <w:rPr>
          <w:i w:val="0"/>
          <w:iCs w:val="0"/>
          <w:color w:val="000000"/>
        </w:rPr>
      </w:pPr>
      <w:r w:rsidDel="00000000" w:rsidR="00000000" w:rsidRPr="00000000">
        <w:rPr>
          <w:b w:val="1"/>
          <w:bCs w:val="1"/>
          <w:i w:val="0"/>
          <w:iCs w:val="0"/>
          <w:sz w:val="22"/>
          <w:szCs w:val="22"/>
          <w:rtl w:val="0"/>
        </w:rPr>
        <w:t xml:space="preserve">☒</w:t>
      </w:r>
      <w:r w:rsidDel="00000000" w:rsidR="00000000" w:rsidRPr="00000000">
        <w:rPr>
          <w:rFonts w:ascii="MS Gothic" w:cs="MS Gothic" w:eastAsia="MS Gothic" w:hAnsi="MS Gothic"/>
          <w:i w:val="0"/>
          <w:iCs w:val="0"/>
          <w:color w:val="000000"/>
          <w:rtl w:val="0"/>
        </w:rPr>
        <w:t xml:space="preserve"> </w:t>
      </w:r>
      <w:r w:rsidDel="00000000" w:rsidR="00000000" w:rsidRPr="00000000">
        <w:rPr>
          <w:i w:val="0"/>
          <w:iCs w:val="0"/>
          <w:color w:val="000000"/>
          <w:rtl w:val="0"/>
        </w:rPr>
        <w:t xml:space="preserve">Se permite la subcontratación con los límites que establece la LCSP.</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left="0" w:hanging="2"/>
        <w:jc w:val="both"/>
        <w:rPr>
          <w:i w:val="0"/>
          <w:iCs w:val="0"/>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left="0" w:hanging="2"/>
        <w:jc w:val="both"/>
        <w:rPr>
          <w:i w:val="0"/>
          <w:iCs w:val="0"/>
          <w:color w:val="000000"/>
        </w:rPr>
      </w:pPr>
      <w:r w:rsidDel="00000000" w:rsidR="00000000" w:rsidRPr="00000000">
        <w:rPr>
          <w:b w:val="1"/>
          <w:bCs w:val="1"/>
          <w:i w:val="0"/>
          <w:iCs w:val="0"/>
          <w:color w:val="000000"/>
          <w:sz w:val="22"/>
          <w:szCs w:val="22"/>
          <w:rtl w:val="0"/>
        </w:rPr>
        <w:t xml:space="preserve">☐</w:t>
      </w:r>
      <w:r w:rsidDel="00000000" w:rsidR="00000000" w:rsidRPr="00000000">
        <w:rPr>
          <w:rFonts w:ascii="MS Gothic" w:cs="MS Gothic" w:eastAsia="MS Gothic" w:hAnsi="MS Gothic"/>
          <w:i w:val="0"/>
          <w:iCs w:val="0"/>
          <w:color w:val="000000"/>
          <w:rtl w:val="0"/>
        </w:rPr>
        <w:t xml:space="preserve"> </w:t>
      </w:r>
      <w:r w:rsidDel="00000000" w:rsidR="00000000" w:rsidRPr="00000000">
        <w:rPr>
          <w:i w:val="0"/>
          <w:iCs w:val="0"/>
          <w:color w:val="000000"/>
          <w:rtl w:val="0"/>
        </w:rPr>
        <w:t xml:space="preserve">Se permite la subcontratación, salvo para las </w:t>
      </w:r>
      <w:r w:rsidDel="00000000" w:rsidR="00000000" w:rsidRPr="00000000">
        <w:rPr>
          <w:i w:val="0"/>
          <w:iCs w:val="0"/>
          <w:color w:val="000000"/>
          <w:u w:val="single"/>
          <w:rtl w:val="0"/>
        </w:rPr>
        <w:t xml:space="preserve">tareas críticas</w:t>
      </w:r>
      <w:r w:rsidDel="00000000" w:rsidR="00000000" w:rsidRPr="00000000">
        <w:rPr>
          <w:i w:val="0"/>
          <w:iCs w:val="0"/>
          <w:color w:val="000000"/>
          <w:rtl w:val="0"/>
        </w:rPr>
        <w:t xml:space="preserve"> que se indican a continuación, que no pueden ser objeto de subcontratación por lo que </w:t>
      </w:r>
      <w:r w:rsidDel="00000000" w:rsidR="00000000" w:rsidRPr="00000000">
        <w:rPr>
          <w:i w:val="0"/>
          <w:iCs w:val="0"/>
          <w:color w:val="000000"/>
          <w:u w:val="single"/>
          <w:rtl w:val="0"/>
        </w:rPr>
        <w:t xml:space="preserve">deben ser ejecutadas directamente por el contratista principal</w:t>
      </w:r>
      <w:r w:rsidDel="00000000" w:rsidR="00000000" w:rsidRPr="00000000">
        <w:rPr>
          <w:i w:val="0"/>
          <w:iCs w:val="0"/>
          <w:color w:val="000000"/>
          <w:rtl w:val="0"/>
        </w:rPr>
        <w:t xml:space="preserve">: </w:t>
      </w:r>
    </w:p>
    <w:p w:rsidR="00000000" w:rsidDel="00000000" w:rsidP="00000000" w:rsidRDefault="00000000" w:rsidRPr="00000000" w14:paraId="00000007">
      <w:pPr>
        <w:keepLines w:val="1"/>
        <w:widowControl w:val="0"/>
        <w:pBdr>
          <w:top w:space="0" w:sz="0" w:val="nil"/>
          <w:left w:space="0" w:sz="0" w:val="nil"/>
          <w:bottom w:space="0" w:sz="0" w:val="nil"/>
          <w:right w:space="0" w:sz="0" w:val="nil"/>
          <w:between w:space="0" w:sz="0" w:val="nil"/>
        </w:pBdr>
        <w:spacing w:line="276" w:lineRule="auto"/>
        <w:ind w:left="0" w:hanging="2"/>
        <w:jc w:val="both"/>
        <w:rPr>
          <w:i w:val="0"/>
          <w:iCs w:val="0"/>
          <w:color w:val="ff0000"/>
        </w:rPr>
      </w:pPr>
      <w:r w:rsidDel="00000000" w:rsidR="00000000" w:rsidRPr="00000000">
        <w:rPr>
          <w:rtl w:val="0"/>
        </w:rPr>
      </w:r>
    </w:p>
    <w:p w:rsidR="00000000" w:rsidDel="00000000" w:rsidP="00000000" w:rsidRDefault="00000000" w:rsidRPr="00000000" w14:paraId="00000008">
      <w:pPr>
        <w:spacing w:line="240" w:lineRule="auto"/>
        <w:ind w:left="0" w:hanging="2"/>
        <w:jc w:val="both"/>
        <w:rPr>
          <w:i w:val="0"/>
          <w:iCs w:val="0"/>
          <w:color w:val="00b050"/>
        </w:rPr>
      </w:pPr>
      <w:bookmarkStart w:colFirst="0" w:colLast="0" w:name="_heading=h.gjdgxs" w:id="0"/>
      <w:bookmarkEnd w:id="0"/>
      <w:r w:rsidDel="00000000" w:rsidR="00000000" w:rsidRPr="00000000">
        <w:rPr>
          <w:i w:val="0"/>
          <w:iCs w:val="0"/>
          <w:color w:val="00b050"/>
          <w:rtl w:val="0"/>
        </w:rPr>
        <w:t xml:space="preserve">[NOTA: </w:t>
      </w:r>
      <w:r w:rsidDel="00000000" w:rsidR="00000000" w:rsidRPr="00000000">
        <w:rPr>
          <w:b w:val="1"/>
          <w:bCs w:val="1"/>
          <w:i w:val="0"/>
          <w:iCs w:val="0"/>
          <w:color w:val="00b050"/>
          <w:rtl w:val="0"/>
        </w:rPr>
        <w:t xml:space="preserve">Sólo se podrán establecer tareas críticas en los siguientes contratos: obras, servicios y suministros que conlleven servicios o trabajos de colocación o instalación</w:t>
      </w:r>
      <w:r w:rsidDel="00000000" w:rsidR="00000000" w:rsidRPr="00000000">
        <w:rPr>
          <w:i w:val="0"/>
          <w:iCs w:val="0"/>
          <w:color w:val="00b050"/>
          <w:rtl w:val="0"/>
        </w:rPr>
        <w:t xml:space="preserve">] </w:t>
      </w:r>
    </w:p>
    <w:p w:rsidR="00000000" w:rsidDel="00000000" w:rsidP="00000000" w:rsidRDefault="00000000" w:rsidRPr="00000000" w14:paraId="00000009">
      <w:pPr>
        <w:spacing w:line="240" w:lineRule="auto"/>
        <w:ind w:left="0" w:hanging="2"/>
        <w:jc w:val="both"/>
        <w:rPr>
          <w:i w:val="0"/>
          <w:iCs w:val="0"/>
          <w:color w:val="00b050"/>
        </w:rPr>
      </w:pPr>
      <w:bookmarkStart w:colFirst="0" w:colLast="0" w:name="_heading=h.ye0mh8mokasm" w:id="1"/>
      <w:bookmarkEnd w:id="1"/>
      <w:r w:rsidDel="00000000" w:rsidR="00000000" w:rsidRPr="00000000">
        <w:rPr>
          <w:rtl w:val="0"/>
        </w:rPr>
      </w:r>
    </w:p>
    <w:p w:rsidR="00000000" w:rsidDel="00000000" w:rsidP="00000000" w:rsidRDefault="00000000" w:rsidRPr="00000000" w14:paraId="0000000A">
      <w:pPr>
        <w:spacing w:line="240" w:lineRule="auto"/>
        <w:ind w:left="0" w:hanging="2"/>
        <w:jc w:val="both"/>
        <w:rPr>
          <w:i w:val="0"/>
          <w:iCs w:val="0"/>
          <w:color w:val="00b050"/>
        </w:rPr>
      </w:pPr>
      <w:bookmarkStart w:colFirst="0" w:colLast="0" w:name="_heading=h.wmm86xmp6cf4" w:id="2"/>
      <w:bookmarkEnd w:id="2"/>
      <w:r w:rsidDel="00000000" w:rsidR="00000000" w:rsidRPr="00000000">
        <w:rPr>
          <w:rtl w:val="0"/>
        </w:rPr>
      </w:r>
    </w:p>
    <w:p w:rsidR="00000000" w:rsidDel="00000000" w:rsidP="00000000" w:rsidRDefault="00000000" w:rsidRPr="00000000" w14:paraId="0000000B">
      <w:pPr>
        <w:ind w:left="0" w:hanging="2"/>
        <w:jc w:val="both"/>
        <w:rPr>
          <w:b w:val="1"/>
          <w:bCs w:val="1"/>
          <w:i w:val="0"/>
          <w:iCs w:val="0"/>
          <w:sz w:val="22"/>
          <w:szCs w:val="22"/>
        </w:rPr>
      </w:pPr>
      <w:r w:rsidDel="00000000" w:rsidR="00000000" w:rsidRPr="00000000">
        <w:rPr>
          <w:b w:val="1"/>
          <w:bCs w:val="1"/>
          <w:i w:val="0"/>
          <w:iCs w:val="0"/>
          <w:sz w:val="22"/>
          <w:szCs w:val="22"/>
          <w:rtl w:val="0"/>
        </w:rPr>
        <w:t xml:space="preserve">2- Justificación lote único:</w:t>
      </w:r>
    </w:p>
    <w:p w:rsidR="00000000" w:rsidDel="00000000" w:rsidP="00000000" w:rsidRDefault="00000000" w:rsidRPr="00000000" w14:paraId="0000000C">
      <w:pPr>
        <w:ind w:left="0"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0D">
      <w:pPr>
        <w:ind w:left="0" w:hanging="2"/>
        <w:jc w:val="both"/>
        <w:rPr>
          <w:i w:val="0"/>
          <w:iCs w:val="0"/>
        </w:rPr>
      </w:pPr>
      <w:r w:rsidDel="00000000" w:rsidR="00000000" w:rsidRPr="00000000">
        <w:rPr>
          <w:b w:val="1"/>
          <w:bCs w:val="1"/>
          <w:i w:val="0"/>
          <w:iCs w:val="0"/>
          <w:sz w:val="22"/>
          <w:szCs w:val="22"/>
          <w:rtl w:val="0"/>
        </w:rPr>
        <w:t xml:space="preserve">☒</w:t>
      </w:r>
      <w:r w:rsidDel="00000000" w:rsidR="00000000" w:rsidRPr="00000000">
        <w:rPr>
          <w:rFonts w:ascii="MS Gothic" w:cs="MS Gothic" w:eastAsia="MS Gothic" w:hAnsi="MS Gothic"/>
          <w:i w:val="0"/>
          <w:iCs w:val="0"/>
          <w:rtl w:val="0"/>
        </w:rPr>
        <w:t xml:space="preserve"> </w:t>
      </w:r>
      <w:r w:rsidDel="00000000" w:rsidR="00000000" w:rsidRPr="00000000">
        <w:rPr>
          <w:i w:val="0"/>
          <w:iCs w:val="0"/>
          <w:rtl w:val="0"/>
        </w:rPr>
        <w:t xml:space="preserve">Misma familia. Son productos de una sola familia y se ha optado por hacer un único lote.</w:t>
      </w:r>
    </w:p>
    <w:p w:rsidR="00000000" w:rsidDel="00000000" w:rsidP="00000000" w:rsidRDefault="00000000" w:rsidRPr="00000000" w14:paraId="0000000E">
      <w:pPr>
        <w:ind w:left="0" w:hanging="2"/>
        <w:jc w:val="both"/>
        <w:rPr>
          <w:i w:val="0"/>
          <w:iCs w:val="0"/>
        </w:rPr>
      </w:pPr>
      <w:r w:rsidDel="00000000" w:rsidR="00000000" w:rsidRPr="00000000">
        <w:rPr>
          <w:rtl w:val="0"/>
        </w:rPr>
      </w:r>
    </w:p>
    <w:p w:rsidR="00000000" w:rsidDel="00000000" w:rsidP="00000000" w:rsidRDefault="00000000" w:rsidRPr="00000000" w14:paraId="0000000F">
      <w:pPr>
        <w:ind w:left="0" w:hanging="2"/>
        <w:jc w:val="both"/>
        <w:rPr>
          <w:i w:val="0"/>
          <w:iCs w:val="0"/>
        </w:rPr>
      </w:pPr>
      <w:r w:rsidDel="00000000" w:rsidR="00000000" w:rsidRPr="00000000">
        <w:rPr>
          <w:b w:val="1"/>
          <w:bCs w:val="1"/>
          <w:i w:val="0"/>
          <w:iCs w:val="0"/>
          <w:sz w:val="22"/>
          <w:szCs w:val="22"/>
          <w:rtl w:val="0"/>
        </w:rPr>
        <w:t xml:space="preserve">☐</w:t>
      </w:r>
      <w:r w:rsidDel="00000000" w:rsidR="00000000" w:rsidRPr="00000000">
        <w:rPr>
          <w:rFonts w:ascii="MS Gothic" w:cs="MS Gothic" w:eastAsia="MS Gothic" w:hAnsi="MS Gothic"/>
          <w:i w:val="0"/>
          <w:iCs w:val="0"/>
          <w:rtl w:val="0"/>
        </w:rPr>
        <w:t xml:space="preserve"> </w:t>
      </w:r>
      <w:r w:rsidDel="00000000" w:rsidR="00000000" w:rsidRPr="00000000">
        <w:rPr>
          <w:i w:val="0"/>
          <w:iCs w:val="0"/>
          <w:rtl w:val="0"/>
        </w:rPr>
        <w:t xml:space="preserve">Se justifica la no división de lotes, para facilitar el control y gestión del mismo, ya que la propia naturaleza del objeto del contrato dificulta el fraccionamiento del mismo en varios lotes. Por otro lado, además, se considera que reportará una mejor optimización, eficiencia y control del propio expediente debido a que se dispondrá de una única organización y por lo tanto, una única responsabilidad sobre la ejecución del contrato.</w:t>
      </w:r>
    </w:p>
    <w:p w:rsidR="00000000" w:rsidDel="00000000" w:rsidP="00000000" w:rsidRDefault="00000000" w:rsidRPr="00000000" w14:paraId="00000010">
      <w:pPr>
        <w:ind w:left="0" w:hanging="2"/>
        <w:jc w:val="both"/>
        <w:rPr>
          <w:i w:val="0"/>
          <w:iCs w:val="0"/>
        </w:rPr>
      </w:pPr>
      <w:r w:rsidDel="00000000" w:rsidR="00000000" w:rsidRPr="00000000">
        <w:rPr>
          <w:rtl w:val="0"/>
        </w:rPr>
      </w:r>
    </w:p>
    <w:p w:rsidR="00000000" w:rsidDel="00000000" w:rsidP="00000000" w:rsidRDefault="00000000" w:rsidRPr="00000000" w14:paraId="00000011">
      <w:pPr>
        <w:ind w:left="0" w:hanging="2"/>
        <w:jc w:val="both"/>
        <w:rPr>
          <w:i w:val="0"/>
          <w:iCs w:val="0"/>
        </w:rPr>
      </w:pPr>
      <w:r w:rsidDel="00000000" w:rsidR="00000000" w:rsidRPr="00000000">
        <w:rPr>
          <w:b w:val="1"/>
          <w:bCs w:val="1"/>
          <w:i w:val="0"/>
          <w:iCs w:val="0"/>
          <w:sz w:val="22"/>
          <w:szCs w:val="22"/>
          <w:rtl w:val="0"/>
        </w:rPr>
        <w:t xml:space="preserve">☐</w:t>
      </w:r>
      <w:r w:rsidDel="00000000" w:rsidR="00000000" w:rsidRPr="00000000">
        <w:rPr>
          <w:rFonts w:ascii="MS Gothic" w:cs="MS Gothic" w:eastAsia="MS Gothic" w:hAnsi="MS Gothic"/>
          <w:i w:val="0"/>
          <w:iCs w:val="0"/>
          <w:rtl w:val="0"/>
        </w:rPr>
        <w:t xml:space="preserve"> </w:t>
      </w:r>
      <w:r w:rsidDel="00000000" w:rsidR="00000000" w:rsidRPr="00000000">
        <w:rPr>
          <w:i w:val="0"/>
          <w:iCs w:val="0"/>
          <w:rtl w:val="0"/>
        </w:rPr>
        <w:t xml:space="preserve">Otras: </w:t>
      </w:r>
    </w:p>
    <w:p w:rsidR="00000000" w:rsidDel="00000000" w:rsidP="00000000" w:rsidRDefault="00000000" w:rsidRPr="00000000" w14:paraId="00000012">
      <w:pPr>
        <w:ind w:left="0" w:hanging="2"/>
        <w:jc w:val="both"/>
        <w:rPr>
          <w:i w:val="0"/>
          <w:iCs w:val="0"/>
        </w:rPr>
      </w:pPr>
      <w:r w:rsidDel="00000000" w:rsidR="00000000" w:rsidRPr="00000000">
        <w:rPr>
          <w:rtl w:val="0"/>
        </w:rPr>
      </w:r>
    </w:p>
    <w:p w:rsidR="00000000" w:rsidDel="00000000" w:rsidP="00000000" w:rsidRDefault="00000000" w:rsidRPr="00000000" w14:paraId="00000013">
      <w:pPr>
        <w:ind w:left="0" w:hanging="2"/>
        <w:jc w:val="both"/>
        <w:rPr>
          <w:i w:val="0"/>
          <w:iCs w:val="0"/>
          <w:color w:val="00b050"/>
        </w:rPr>
      </w:pPr>
      <w:r w:rsidDel="00000000" w:rsidR="00000000" w:rsidRPr="00000000">
        <w:rPr>
          <w:i w:val="0"/>
          <w:iCs w:val="0"/>
          <w:rtl w:val="0"/>
        </w:rPr>
        <w:tab/>
      </w:r>
      <w:r w:rsidDel="00000000" w:rsidR="00000000" w:rsidRPr="00000000">
        <w:rPr>
          <w:i w:val="0"/>
          <w:iCs w:val="0"/>
          <w:color w:val="00b050"/>
          <w:rtl w:val="0"/>
        </w:rPr>
        <w:t xml:space="preserve">[NOTA: </w:t>
      </w:r>
      <w:r w:rsidDel="00000000" w:rsidR="00000000" w:rsidRPr="00000000">
        <w:rPr>
          <w:b w:val="1"/>
          <w:bCs w:val="1"/>
          <w:i w:val="0"/>
          <w:iCs w:val="0"/>
          <w:color w:val="00b050"/>
          <w:rtl w:val="0"/>
        </w:rPr>
        <w:t xml:space="preserve">explicar motivo si no es ninguna de las dos</w:t>
      </w:r>
      <w:r w:rsidDel="00000000" w:rsidR="00000000" w:rsidRPr="00000000">
        <w:rPr>
          <w:i w:val="0"/>
          <w:iCs w:val="0"/>
          <w:color w:val="00b050"/>
          <w:rtl w:val="0"/>
        </w:rPr>
        <w:t xml:space="preserve">] </w:t>
      </w:r>
    </w:p>
    <w:p w:rsidR="00000000" w:rsidDel="00000000" w:rsidP="00000000" w:rsidRDefault="00000000" w:rsidRPr="00000000" w14:paraId="00000014">
      <w:pPr>
        <w:ind w:left="0"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15">
      <w:pPr>
        <w:ind w:left="0" w:hanging="2"/>
        <w:jc w:val="both"/>
        <w:rPr>
          <w:b w:val="1"/>
          <w:bCs w:val="1"/>
          <w:i w:val="0"/>
          <w:iCs w:val="0"/>
          <w:sz w:val="22"/>
          <w:szCs w:val="22"/>
        </w:rPr>
      </w:pPr>
      <w:r w:rsidDel="00000000" w:rsidR="00000000" w:rsidRPr="00000000">
        <w:rPr>
          <w:b w:val="1"/>
          <w:bCs w:val="1"/>
          <w:i w:val="0"/>
          <w:iCs w:val="0"/>
          <w:sz w:val="22"/>
          <w:szCs w:val="22"/>
          <w:rtl w:val="0"/>
        </w:rPr>
        <w:t xml:space="preserve">3- Bajas desproporcionadas:</w:t>
      </w:r>
    </w:p>
    <w:p w:rsidR="00000000" w:rsidDel="00000000" w:rsidP="00000000" w:rsidRDefault="00000000" w:rsidRPr="00000000" w14:paraId="00000016">
      <w:pPr>
        <w:ind w:left="0"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17">
      <w:pPr>
        <w:ind w:left="0" w:hanging="2"/>
        <w:jc w:val="both"/>
        <w:rPr>
          <w:i w:val="0"/>
          <w:iCs w:val="0"/>
        </w:rPr>
      </w:pPr>
      <w:r w:rsidDel="00000000" w:rsidR="00000000" w:rsidRPr="00000000">
        <w:rPr>
          <w:b w:val="1"/>
          <w:bCs w:val="1"/>
          <w:i w:val="0"/>
          <w:iCs w:val="0"/>
          <w:sz w:val="22"/>
          <w:szCs w:val="22"/>
          <w:rtl w:val="0"/>
        </w:rPr>
        <w:t xml:space="preserve">☒</w:t>
      </w:r>
      <w:r w:rsidDel="00000000" w:rsidR="00000000" w:rsidRPr="00000000">
        <w:rPr>
          <w:i w:val="0"/>
          <w:iCs w:val="0"/>
          <w:rtl w:val="0"/>
        </w:rPr>
        <w:t xml:space="preserve"> Presupuesto Base de Licitación (Se valora el total)</w:t>
      </w:r>
    </w:p>
    <w:p w:rsidR="00000000" w:rsidDel="00000000" w:rsidP="00000000" w:rsidRDefault="00000000" w:rsidRPr="00000000" w14:paraId="00000018">
      <w:pPr>
        <w:ind w:left="0" w:hanging="2"/>
        <w:jc w:val="both"/>
        <w:rPr>
          <w:i w:val="0"/>
          <w:iCs w:val="0"/>
        </w:rPr>
      </w:pPr>
      <w:r w:rsidDel="00000000" w:rsidR="00000000" w:rsidRPr="00000000">
        <w:rPr>
          <w:b w:val="1"/>
          <w:bCs w:val="1"/>
          <w:i w:val="0"/>
          <w:iCs w:val="0"/>
          <w:sz w:val="22"/>
          <w:szCs w:val="22"/>
          <w:rtl w:val="0"/>
        </w:rPr>
        <w:t xml:space="preserve">☐</w:t>
      </w:r>
      <w:r w:rsidDel="00000000" w:rsidR="00000000" w:rsidRPr="00000000">
        <w:rPr>
          <w:i w:val="0"/>
          <w:iCs w:val="0"/>
          <w:rtl w:val="0"/>
        </w:rPr>
        <w:t xml:space="preserve"> Precios unitarios por cada una de las referencias (Se valora cada artículo) </w:t>
      </w:r>
    </w:p>
    <w:p w:rsidR="00000000" w:rsidDel="00000000" w:rsidP="00000000" w:rsidRDefault="00000000" w:rsidRPr="00000000" w14:paraId="00000019">
      <w:pPr>
        <w:ind w:left="0" w:hanging="2"/>
        <w:jc w:val="both"/>
        <w:rPr>
          <w:i w:val="0"/>
          <w:iCs w:val="0"/>
        </w:rPr>
      </w:pPr>
      <w:r w:rsidDel="00000000" w:rsidR="00000000" w:rsidRPr="00000000">
        <w:rPr>
          <w:rtl w:val="0"/>
        </w:rPr>
      </w:r>
    </w:p>
    <w:p w:rsidR="00000000" w:rsidDel="00000000" w:rsidP="00000000" w:rsidRDefault="00000000" w:rsidRPr="00000000" w14:paraId="0000001A">
      <w:pPr>
        <w:ind w:left="0" w:hanging="2"/>
        <w:jc w:val="both"/>
        <w:rPr>
          <w:b w:val="1"/>
          <w:bCs w:val="1"/>
          <w:i w:val="0"/>
          <w:iCs w:val="0"/>
          <w:color w:val="ff0000"/>
        </w:rPr>
      </w:pPr>
      <w:bookmarkStart w:colFirst="0" w:colLast="0" w:name="_heading=h.68ycdk9mc4p9" w:id="3"/>
      <w:bookmarkEnd w:id="3"/>
      <w:r w:rsidDel="00000000" w:rsidR="00000000" w:rsidRPr="00000000">
        <w:rPr>
          <w:i w:val="0"/>
          <w:iCs w:val="0"/>
          <w:rtl w:val="0"/>
        </w:rPr>
        <w:t xml:space="preserve">Siempre se establecerá por un 20%, salvo en los casos indicados: _______ </w:t>
      </w:r>
      <w:r w:rsidDel="00000000" w:rsidR="00000000" w:rsidRPr="00000000">
        <w:rPr>
          <w:b w:val="1"/>
          <w:bCs w:val="1"/>
          <w:i w:val="0"/>
          <w:iCs w:val="0"/>
          <w:color w:val="ff0000"/>
          <w:rtl w:val="0"/>
        </w:rPr>
        <w:t xml:space="preserve">(Indicar si es diferente)</w:t>
      </w:r>
    </w:p>
    <w:p w:rsidR="00000000" w:rsidDel="00000000" w:rsidP="00000000" w:rsidRDefault="00000000" w:rsidRPr="00000000" w14:paraId="0000001B">
      <w:pPr>
        <w:ind w:left="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1C">
      <w:pPr>
        <w:ind w:left="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1D">
      <w:pPr>
        <w:ind w:left="0" w:firstLine="0"/>
        <w:jc w:val="both"/>
        <w:rPr>
          <w:b w:val="1"/>
          <w:bCs w:val="1"/>
          <w:i w:val="0"/>
          <w:iCs w:val="0"/>
          <w:sz w:val="22"/>
          <w:szCs w:val="22"/>
        </w:rPr>
      </w:pPr>
      <w:r w:rsidDel="00000000" w:rsidR="00000000" w:rsidRPr="00000000">
        <w:rPr>
          <w:b w:val="1"/>
          <w:bCs w:val="1"/>
          <w:i w:val="0"/>
          <w:iCs w:val="0"/>
          <w:sz w:val="22"/>
          <w:szCs w:val="22"/>
          <w:rtl w:val="0"/>
        </w:rPr>
        <w:t xml:space="preserve">4- JUSTIFICACIÓN DE CRITERIOS</w:t>
      </w:r>
    </w:p>
    <w:p w:rsidR="00000000" w:rsidDel="00000000" w:rsidP="00000000" w:rsidRDefault="00000000" w:rsidRPr="00000000" w14:paraId="0000001E">
      <w:pPr>
        <w:ind w:left="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1F">
      <w:pPr>
        <w:ind w:hanging="2"/>
        <w:jc w:val="both"/>
        <w:rPr>
          <w:b w:val="1"/>
          <w:bCs w:val="1"/>
          <w:i w:val="0"/>
          <w:iCs w:val="0"/>
          <w:sz w:val="22"/>
          <w:szCs w:val="22"/>
        </w:rPr>
      </w:pPr>
      <w:r w:rsidDel="00000000" w:rsidR="00000000" w:rsidRPr="00000000">
        <w:rPr>
          <w:b w:val="1"/>
          <w:bCs w:val="1"/>
          <w:i w:val="0"/>
          <w:iCs w:val="0"/>
          <w:sz w:val="22"/>
          <w:szCs w:val="22"/>
          <w:rtl w:val="0"/>
        </w:rPr>
        <w:t xml:space="preserve">Precio:</w:t>
      </w:r>
    </w:p>
    <w:p w:rsidR="00000000" w:rsidDel="00000000" w:rsidP="00000000" w:rsidRDefault="00000000" w:rsidRPr="00000000" w14:paraId="00000020">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21">
      <w:pPr>
        <w:ind w:hanging="2"/>
        <w:jc w:val="both"/>
        <w:rPr>
          <w:b w:val="1"/>
          <w:bCs w:val="1"/>
          <w:i w:val="0"/>
          <w:iCs w:val="0"/>
          <w:sz w:val="22"/>
          <w:szCs w:val="22"/>
        </w:rPr>
      </w:pPr>
      <w:r w:rsidDel="00000000" w:rsidR="00000000" w:rsidRPr="00000000">
        <w:rPr>
          <w:b w:val="1"/>
          <w:bCs w:val="1"/>
          <w:i w:val="0"/>
          <w:iCs w:val="0"/>
          <w:sz w:val="22"/>
          <w:szCs w:val="22"/>
          <w:rtl w:val="0"/>
        </w:rPr>
        <w:t xml:space="preserve">☒ </w:t>
      </w:r>
      <w:r w:rsidDel="00000000" w:rsidR="00000000" w:rsidRPr="00000000">
        <w:rPr>
          <w:i w:val="0"/>
          <w:iCs w:val="0"/>
          <w:rtl w:val="0"/>
        </w:rPr>
        <w:t xml:space="preserve">La normativa de contratación pública establece que la adjudicación debe buscar la mejor relación calidad-precio. Esta relación es una fórmula que necesariamente requiere un componente económico (el coste) para ser evaluada. Sin la inclusión del precio, sólo se evaluaría la "calidad", lo cual es insuficiente.</w:t>
      </w:r>
      <w:r w:rsidDel="00000000" w:rsidR="00000000" w:rsidRPr="00000000">
        <w:rPr>
          <w:rtl w:val="0"/>
        </w:rPr>
      </w:r>
    </w:p>
    <w:p w:rsidR="00000000" w:rsidDel="00000000" w:rsidP="00000000" w:rsidRDefault="00000000" w:rsidRPr="00000000" w14:paraId="00000022">
      <w:pPr>
        <w:ind w:left="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2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24">
      <w:pPr>
        <w:ind w:firstLine="0"/>
        <w:jc w:val="both"/>
        <w:rPr>
          <w:i w:val="0"/>
          <w:iCs w:val="0"/>
        </w:rPr>
      </w:pPr>
      <w:r w:rsidDel="00000000" w:rsidR="00000000" w:rsidRPr="00000000">
        <w:rPr>
          <w:rtl w:val="0"/>
        </w:rPr>
      </w:r>
    </w:p>
    <w:p w:rsidR="00000000" w:rsidDel="00000000" w:rsidP="00000000" w:rsidRDefault="00000000" w:rsidRPr="00000000" w14:paraId="00000025">
      <w:pPr>
        <w:ind w:firstLine="0"/>
        <w:jc w:val="both"/>
        <w:rPr>
          <w:i w:val="0"/>
          <w:iCs w:val="0"/>
        </w:rPr>
      </w:pPr>
      <w:r w:rsidDel="00000000" w:rsidR="00000000" w:rsidRPr="00000000">
        <w:rPr>
          <w:rtl w:val="0"/>
        </w:rPr>
      </w:r>
    </w:p>
    <w:p w:rsidR="00000000" w:rsidDel="00000000" w:rsidP="00000000" w:rsidRDefault="00000000" w:rsidRPr="00000000" w14:paraId="00000026">
      <w:pPr>
        <w:ind w:hanging="2"/>
        <w:jc w:val="both"/>
        <w:rPr>
          <w:b w:val="1"/>
          <w:bCs w:val="1"/>
          <w:i w:val="0"/>
          <w:iCs w:val="0"/>
          <w:sz w:val="22"/>
          <w:szCs w:val="22"/>
        </w:rPr>
      </w:pPr>
      <w:r w:rsidDel="00000000" w:rsidR="00000000" w:rsidRPr="00000000">
        <w:rPr>
          <w:b w:val="1"/>
          <w:bCs w:val="1"/>
          <w:i w:val="0"/>
          <w:iCs w:val="0"/>
          <w:sz w:val="22"/>
          <w:szCs w:val="22"/>
          <w:rtl w:val="0"/>
        </w:rPr>
        <w:t xml:space="preserve">Reducción de los plazos resolución de incidencias:</w:t>
      </w:r>
    </w:p>
    <w:p w:rsidR="00000000" w:rsidDel="00000000" w:rsidP="00000000" w:rsidRDefault="00000000" w:rsidRPr="00000000" w14:paraId="0000002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28">
      <w:pPr>
        <w:ind w:firstLine="0"/>
        <w:jc w:val="both"/>
        <w:rPr>
          <w:i w:val="0"/>
          <w:iCs w:val="0"/>
        </w:rPr>
      </w:pPr>
      <w:r w:rsidDel="00000000" w:rsidR="00000000" w:rsidRPr="00000000">
        <w:rPr>
          <w:b w:val="1"/>
          <w:bCs w:val="1"/>
          <w:i w:val="0"/>
          <w:iCs w:val="0"/>
          <w:sz w:val="22"/>
          <w:szCs w:val="22"/>
          <w:rtl w:val="0"/>
        </w:rPr>
        <w:t xml:space="preserve">☒</w:t>
      </w:r>
      <w:r w:rsidDel="00000000" w:rsidR="00000000" w:rsidRPr="00000000">
        <w:rPr>
          <w:i w:val="0"/>
          <w:iCs w:val="0"/>
          <w:rtl w:val="0"/>
        </w:rPr>
        <w:t xml:space="preserve"> La disminución del tiempo para la resolución de incidencias se justifica por su relación directa con la calidad del servicio y  la continuidad operativa. </w:t>
      </w:r>
    </w:p>
    <w:p w:rsidR="00000000" w:rsidDel="00000000" w:rsidP="00000000" w:rsidRDefault="00000000" w:rsidRPr="00000000" w14:paraId="00000029">
      <w:pPr>
        <w:ind w:firstLine="0"/>
        <w:jc w:val="both"/>
        <w:rPr>
          <w:i w:val="0"/>
          <w:iCs w:val="0"/>
        </w:rPr>
      </w:pPr>
      <w:r w:rsidDel="00000000" w:rsidR="00000000" w:rsidRPr="00000000">
        <w:rPr>
          <w:rtl w:val="0"/>
        </w:rPr>
      </w:r>
    </w:p>
    <w:p w:rsidR="00000000" w:rsidDel="00000000" w:rsidP="00000000" w:rsidRDefault="00000000" w:rsidRPr="00000000" w14:paraId="0000002A">
      <w:pPr>
        <w:numPr>
          <w:ilvl w:val="0"/>
          <w:numId w:val="1"/>
        </w:numPr>
        <w:spacing w:after="0" w:lineRule="auto"/>
        <w:ind w:left="720" w:hanging="360"/>
        <w:jc w:val="both"/>
        <w:rPr>
          <w:i w:val="0"/>
          <w:iCs w:val="0"/>
        </w:rPr>
      </w:pPr>
      <w:r w:rsidDel="00000000" w:rsidR="00000000" w:rsidRPr="00000000">
        <w:rPr>
          <w:i w:val="0"/>
          <w:iCs w:val="0"/>
          <w:rtl w:val="0"/>
        </w:rPr>
        <w:t xml:space="preserve">El tiempo de resolución de una incidencia es uno de los indicadores de calidad de servicio más relevantes y objetivos, ya que la reducción de este tiempo significa que el servicio se reanuda más rápidamente, lo que es un beneficio directo para los usuarios finales o para la propia operatividad interna.</w:t>
      </w:r>
      <w:r w:rsidDel="00000000" w:rsidR="00000000" w:rsidRPr="00000000">
        <w:rPr>
          <w:rtl w:val="0"/>
        </w:rPr>
      </w:r>
    </w:p>
    <w:p w:rsidR="00000000" w:rsidDel="00000000" w:rsidP="00000000" w:rsidRDefault="00000000" w:rsidRPr="00000000" w14:paraId="0000002B">
      <w:pPr>
        <w:numPr>
          <w:ilvl w:val="0"/>
          <w:numId w:val="1"/>
        </w:numPr>
        <w:spacing w:after="240" w:before="0" w:lineRule="auto"/>
        <w:ind w:left="720" w:hanging="360"/>
        <w:rPr>
          <w:i w:val="0"/>
          <w:iCs w:val="0"/>
        </w:rPr>
      </w:pPr>
      <w:r w:rsidDel="00000000" w:rsidR="00000000" w:rsidRPr="00000000">
        <w:rPr>
          <w:i w:val="0"/>
          <w:iCs w:val="0"/>
          <w:rtl w:val="0"/>
        </w:rPr>
        <w:t xml:space="preserve">El principal impacto de una incidencia es la paralización o el deterioro de un servicio, minimizar el tiempo de inactividad implica reducción de costes. Un servicio o equipo parado genera un coste económico a la organización y su puesta en marcha lo más rápido posible alivia estos costes operativos</w:t>
      </w:r>
    </w:p>
    <w:p w:rsidR="00000000" w:rsidDel="00000000" w:rsidP="00000000" w:rsidRDefault="00000000" w:rsidRPr="00000000" w14:paraId="0000002C">
      <w:pPr>
        <w:spacing w:after="240" w:before="240" w:lineRule="auto"/>
        <w:ind w:firstLine="0"/>
        <w:rPr>
          <w:i w:val="0"/>
          <w:iCs w:val="0"/>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17" w:top="992" w:left="1701" w:right="1701"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widowControl w:val="0"/>
      <w:spacing w:after="0" w:before="0" w:line="240" w:lineRule="auto"/>
      <w:ind w:left="2160" w:firstLine="0"/>
      <w:rPr>
        <w:b w:val="1"/>
        <w:bCs w:val="1"/>
        <w:i w:val="0"/>
        <w:iCs w:val="0"/>
        <w:color w:val="0070c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-1076322</wp:posOffset>
          </wp:positionH>
          <wp:positionV relativeFrom="paragraph">
            <wp:posOffset>-180338</wp:posOffset>
          </wp:positionV>
          <wp:extent cx="1995805" cy="786765"/>
          <wp:effectExtent b="0" l="0" r="0" t="0"/>
          <wp:wrapSquare wrapText="bothSides" distB="0" distT="0" distL="114300" distR="114300"/>
          <wp:docPr descr="U:\Documents\Sil\Junta General\np\107.b.png" id="3"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1995805" cy="786765"/>
                  </a:xfrm>
                  <a:prstGeom prst="rect"/>
                  <a:ln/>
                </pic:spPr>
              </pic:pic>
            </a:graphicData>
          </a:graphic>
        </wp:anchor>
      </w:drawing>
    </w:r>
  </w:p>
  <w:p w:rsidR="00000000" w:rsidDel="00000000" w:rsidP="00000000" w:rsidRDefault="00000000" w:rsidRPr="00000000" w14:paraId="0000002E">
    <w:pPr>
      <w:spacing w:after="120" w:line="240" w:lineRule="auto"/>
      <w:ind w:left="1984.251968503937" w:right="16.062992125985716" w:hanging="2880"/>
      <w:jc w:val="right"/>
      <w:rPr>
        <w:b w:val="1"/>
        <w:bCs w:val="1"/>
        <w:i w:val="0"/>
        <w:iCs w:val="0"/>
        <w:sz w:val="18"/>
        <w:szCs w:val="18"/>
      </w:rPr>
    </w:pPr>
    <w:r w:rsidDel="00000000" w:rsidR="00000000" w:rsidRPr="00000000">
      <w:rPr>
        <w:b w:val="1"/>
        <w:bCs w:val="1"/>
        <w:i w:val="0"/>
        <w:iCs w:val="0"/>
        <w:sz w:val="18"/>
        <w:szCs w:val="18"/>
        <w:rtl w:val="0"/>
      </w:rPr>
      <w:t xml:space="preserve">Exp. CP000156/2026</w:t>
    </w:r>
  </w:p>
  <w:p w:rsidR="00000000" w:rsidDel="00000000" w:rsidP="00000000" w:rsidRDefault="00000000" w:rsidRPr="00000000" w14:paraId="0000002F">
    <w:pPr>
      <w:spacing w:line="240" w:lineRule="auto"/>
      <w:ind w:left="1984.251968503937" w:right="16.062992125985716" w:firstLine="0"/>
      <w:jc w:val="both"/>
      <w:rPr>
        <w:i w:val="0"/>
        <w:iCs w:val="0"/>
        <w:sz w:val="18"/>
        <w:szCs w:val="18"/>
      </w:rPr>
    </w:pPr>
    <w:r w:rsidDel="00000000" w:rsidR="00000000" w:rsidRPr="00000000">
      <w:rPr>
        <w:i w:val="0"/>
        <w:iCs w:val="0"/>
        <w:sz w:val="18"/>
        <w:szCs w:val="18"/>
        <w:rtl w:val="0"/>
      </w:rPr>
      <w:t xml:space="preserve">Contratación de suministro de material quirúrgico para cirugía torácica destinado a los hospitales de Sant Cugat y Coslada de ASEPEYO, Mutua Colaboradora con la Seguridad social nº 151</w:t>
    </w:r>
  </w:p>
  <w:p w:rsidR="00000000" w:rsidDel="00000000" w:rsidP="00000000" w:rsidRDefault="00000000" w:rsidRPr="00000000" w14:paraId="00000030">
    <w:pPr>
      <w:widowControl w:val="0"/>
      <w:spacing w:after="0" w:before="240" w:line="276" w:lineRule="auto"/>
      <w:ind w:left="2160" w:firstLine="0"/>
      <w:jc w:val="right"/>
      <w:rPr>
        <w:b w:val="1"/>
        <w:bCs w:val="1"/>
        <w:i w:val="0"/>
        <w:iCs w:val="0"/>
        <w:color w:val="0070c0"/>
      </w:rPr>
    </w:pPr>
    <w:r w:rsidDel="00000000" w:rsidR="00000000" w:rsidRPr="00000000">
      <w:rPr>
        <w:b w:val="1"/>
        <w:bCs w:val="1"/>
        <w:i w:val="0"/>
        <w:iCs w:val="0"/>
        <w:color w:val="0070c0"/>
        <w:sz w:val="24"/>
        <w:szCs w:val="24"/>
        <w:rtl w:val="0"/>
      </w:rPr>
      <w:t xml:space="preserve">DATOS PARA PCAP</w:t>
    </w:r>
    <w:r w:rsidDel="00000000" w:rsidR="00000000" w:rsidRPr="00000000">
      <w:rPr>
        <w:rtl w:val="0"/>
      </w:rPr>
    </w:r>
  </w:p>
  <w:p w:rsidR="00000000" w:rsidDel="00000000" w:rsidP="00000000" w:rsidRDefault="00000000" w:rsidRPr="00000000" w14:paraId="00000031">
    <w:pPr>
      <w:spacing w:after="120" w:line="240" w:lineRule="auto"/>
      <w:ind w:left="0" w:right="16.062992125985716" w:hanging="2"/>
      <w:jc w:val="left"/>
      <w:rPr/>
    </w:pPr>
    <w:r w:rsidDel="00000000" w:rsidR="00000000" w:rsidRPr="00000000">
      <w:rPr>
        <w:b w:val="1"/>
        <w:bCs w:val="1"/>
        <w:i w:val="0"/>
        <w:iCs w:val="0"/>
        <w:color w:val="0070c0"/>
        <w:rtl w:val="0"/>
      </w:rPr>
      <w:t xml:space="preserve">____________________________________________________________________________</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spacing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Prrafodelista">
    <w:name w:val="List Paragraph"/>
    <w:basedOn w:val="Normal"/>
    <w:uiPriority w:val="34"/>
    <w:qFormat w:val="1"/>
    <w:rsid w:val="009E69BA"/>
    <w:pPr>
      <w:ind w:left="720"/>
      <w:contextualSpacing w:val="1"/>
    </w:pPr>
  </w:style>
  <w:style w:type="paragraph" w:styleId="Encabezado">
    <w:name w:val="header"/>
    <w:basedOn w:val="Normal"/>
    <w:link w:val="EncabezadoCar"/>
    <w:uiPriority w:val="99"/>
    <w:unhideWhenUsed w:val="1"/>
    <w:rsid w:val="00D90738"/>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D90738"/>
    <w:rPr>
      <w:position w:val="-1"/>
      <w:lang w:eastAsia="es-ES"/>
    </w:rPr>
  </w:style>
  <w:style w:type="paragraph" w:styleId="Piedepgina">
    <w:name w:val="footer"/>
    <w:basedOn w:val="Normal"/>
    <w:link w:val="PiedepginaCar"/>
    <w:uiPriority w:val="99"/>
    <w:unhideWhenUsed w:val="1"/>
    <w:rsid w:val="00D90738"/>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D90738"/>
    <w:rPr>
      <w:position w:val="-1"/>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riPxYSo8uX+SXtfw8jUpRJiiCA==">CgMxLjAyCGguZ2pkZ3hzMg5oLnllMG1oOG1va2FzbTIOaC53bW04NnhtcDZjZjQyDmguNjh5Y2RrOW1jNHA5OAByITF4Mk84VUc4UjJDOVNMV1FQRWZqMWpzczZDREM2ZHowVg==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2023-02-14T15:43:00Z</dcterms:created>
  <dc:creator>LIDIA CORTES MORALES</dc:creator>
</cp:coreProperties>
</file>