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DA1" w:rsidRDefault="00584DA1">
      <w:pPr>
        <w:widowControl w:val="0"/>
        <w:pBdr>
          <w:top w:val="nil"/>
          <w:left w:val="nil"/>
          <w:bottom w:val="nil"/>
          <w:right w:val="nil"/>
          <w:between w:val="nil"/>
        </w:pBdr>
        <w:spacing w:line="276" w:lineRule="auto"/>
        <w:rPr>
          <w:rFonts w:eastAsia="Arial"/>
          <w:i w:val="0"/>
          <w:color w:val="000000"/>
          <w:sz w:val="22"/>
          <w:szCs w:val="22"/>
        </w:rPr>
      </w:pPr>
    </w:p>
    <w:tbl>
      <w:tblPr>
        <w:tblStyle w:val="a"/>
        <w:tblW w:w="9538" w:type="dxa"/>
        <w:tblInd w:w="-216" w:type="dxa"/>
        <w:tblLayout w:type="fixed"/>
        <w:tblLook w:val="0000" w:firstRow="0" w:lastRow="0" w:firstColumn="0" w:lastColumn="0" w:noHBand="0" w:noVBand="0"/>
      </w:tblPr>
      <w:tblGrid>
        <w:gridCol w:w="9538"/>
      </w:tblGrid>
      <w:tr w:rsidR="00584DA1" w:rsidTr="00C94026">
        <w:trPr>
          <w:trHeight w:val="765"/>
        </w:trPr>
        <w:tc>
          <w:tcPr>
            <w:tcW w:w="9538" w:type="dxa"/>
            <w:shd w:val="clear" w:color="auto" w:fill="00B0F0"/>
          </w:tcPr>
          <w:p w:rsidR="00584DA1" w:rsidRDefault="002A35DC">
            <w:pPr>
              <w:pBdr>
                <w:top w:val="nil"/>
                <w:left w:val="nil"/>
                <w:bottom w:val="nil"/>
                <w:right w:val="nil"/>
                <w:between w:val="nil"/>
              </w:pBdr>
              <w:jc w:val="both"/>
              <w:rPr>
                <w:rFonts w:eastAsia="Arial"/>
                <w:i w:val="0"/>
                <w:color w:val="000000"/>
                <w:sz w:val="24"/>
                <w:szCs w:val="24"/>
              </w:rPr>
            </w:pPr>
            <w:r>
              <w:rPr>
                <w:rFonts w:eastAsia="Arial"/>
                <w:b/>
                <w:i w:val="0"/>
                <w:color w:val="FFFFFF"/>
                <w:sz w:val="28"/>
                <w:szCs w:val="28"/>
              </w:rPr>
              <w:t>Pliego de Cláusulas administrativas particulares</w:t>
            </w:r>
          </w:p>
          <w:p w:rsidR="00584DA1" w:rsidRDefault="002A35DC">
            <w:pPr>
              <w:pBdr>
                <w:top w:val="nil"/>
                <w:left w:val="nil"/>
                <w:bottom w:val="nil"/>
                <w:right w:val="nil"/>
                <w:between w:val="nil"/>
              </w:pBdr>
              <w:jc w:val="both"/>
              <w:rPr>
                <w:rFonts w:eastAsia="Arial"/>
                <w:i w:val="0"/>
                <w:color w:val="FFFFFF"/>
                <w:sz w:val="24"/>
                <w:szCs w:val="24"/>
              </w:rPr>
            </w:pPr>
            <w:r>
              <w:rPr>
                <w:rFonts w:eastAsia="Arial"/>
                <w:b/>
                <w:i w:val="0"/>
                <w:color w:val="FFFFFF"/>
                <w:sz w:val="24"/>
                <w:szCs w:val="24"/>
              </w:rPr>
              <w:t>Anexos</w:t>
            </w:r>
          </w:p>
        </w:tc>
      </w:tr>
    </w:tbl>
    <w:p w:rsidR="00584DA1" w:rsidRDefault="00584DA1">
      <w:pPr>
        <w:pBdr>
          <w:top w:val="nil"/>
          <w:left w:val="nil"/>
          <w:bottom w:val="nil"/>
          <w:right w:val="nil"/>
          <w:between w:val="nil"/>
        </w:pBdr>
        <w:jc w:val="both"/>
        <w:rPr>
          <w:rFonts w:eastAsia="Arial"/>
          <w:b/>
          <w:i w:val="0"/>
          <w:color w:val="1F497D"/>
          <w:sz w:val="24"/>
          <w:szCs w:val="24"/>
        </w:rPr>
      </w:pPr>
    </w:p>
    <w:p w:rsidR="00584DA1" w:rsidRDefault="007435F4">
      <w:pPr>
        <w:pBdr>
          <w:top w:val="nil"/>
          <w:left w:val="nil"/>
          <w:bottom w:val="nil"/>
          <w:right w:val="nil"/>
          <w:between w:val="nil"/>
        </w:pBdr>
        <w:spacing w:line="360" w:lineRule="auto"/>
        <w:jc w:val="both"/>
        <w:rPr>
          <w:rFonts w:eastAsia="Arial"/>
          <w:i w:val="0"/>
          <w:color w:val="000000"/>
          <w:sz w:val="22"/>
          <w:szCs w:val="22"/>
        </w:rPr>
      </w:pPr>
      <w:hyperlink w:anchor="bookmark=id.35nkun2">
        <w:r w:rsidR="002A35DC">
          <w:rPr>
            <w:rFonts w:eastAsia="Arial"/>
            <w:i w:val="0"/>
            <w:color w:val="0000FF"/>
            <w:sz w:val="22"/>
            <w:szCs w:val="22"/>
            <w:u w:val="single"/>
          </w:rPr>
          <w:t>Anexo II</w:t>
        </w:r>
      </w:hyperlink>
      <w:r w:rsidR="002A35DC">
        <w:rPr>
          <w:rFonts w:eastAsia="Arial"/>
          <w:i w:val="0"/>
          <w:color w:val="000000"/>
          <w:sz w:val="22"/>
          <w:szCs w:val="22"/>
        </w:rPr>
        <w:tab/>
        <w:t>Datos identificativos de la empresa participante en la licitación</w:t>
      </w:r>
    </w:p>
    <w:p w:rsidR="00584DA1" w:rsidRDefault="007435F4">
      <w:pPr>
        <w:pBdr>
          <w:top w:val="nil"/>
          <w:left w:val="nil"/>
          <w:bottom w:val="nil"/>
          <w:right w:val="nil"/>
          <w:between w:val="nil"/>
        </w:pBdr>
        <w:spacing w:line="360" w:lineRule="auto"/>
        <w:jc w:val="both"/>
        <w:rPr>
          <w:rFonts w:eastAsia="Arial"/>
          <w:i w:val="0"/>
          <w:color w:val="000000"/>
          <w:sz w:val="22"/>
          <w:szCs w:val="22"/>
        </w:rPr>
      </w:pPr>
      <w:hyperlink w:anchor="bookmark=id.1ksv4uv">
        <w:r w:rsidR="002A35DC">
          <w:rPr>
            <w:rFonts w:eastAsia="Arial"/>
            <w:i w:val="0"/>
            <w:color w:val="0000FF"/>
            <w:sz w:val="22"/>
            <w:szCs w:val="22"/>
            <w:u w:val="single"/>
          </w:rPr>
          <w:t>Anexo III</w:t>
        </w:r>
      </w:hyperlink>
      <w:r w:rsidR="002A35DC">
        <w:rPr>
          <w:rFonts w:eastAsia="Arial"/>
          <w:i w:val="0"/>
          <w:color w:val="1F497D"/>
          <w:sz w:val="22"/>
          <w:szCs w:val="22"/>
        </w:rPr>
        <w:t xml:space="preserve"> </w:t>
      </w:r>
      <w:r w:rsidR="002A35DC">
        <w:rPr>
          <w:rFonts w:eastAsia="Arial"/>
          <w:i w:val="0"/>
          <w:color w:val="000080"/>
          <w:sz w:val="22"/>
          <w:szCs w:val="22"/>
        </w:rPr>
        <w:tab/>
      </w:r>
      <w:r w:rsidR="002A35DC">
        <w:rPr>
          <w:rFonts w:eastAsia="Arial"/>
          <w:i w:val="0"/>
          <w:color w:val="000000"/>
          <w:sz w:val="22"/>
          <w:szCs w:val="22"/>
        </w:rPr>
        <w:t>Admisión de variantes</w:t>
      </w:r>
    </w:p>
    <w:p w:rsidR="00584DA1" w:rsidRDefault="007435F4">
      <w:pPr>
        <w:pBdr>
          <w:top w:val="nil"/>
          <w:left w:val="nil"/>
          <w:bottom w:val="nil"/>
          <w:right w:val="nil"/>
          <w:between w:val="nil"/>
        </w:pBdr>
        <w:spacing w:line="360" w:lineRule="auto"/>
        <w:jc w:val="both"/>
        <w:rPr>
          <w:rFonts w:eastAsia="Arial"/>
          <w:i w:val="0"/>
          <w:color w:val="000000"/>
          <w:sz w:val="22"/>
          <w:szCs w:val="22"/>
        </w:rPr>
      </w:pPr>
      <w:hyperlink w:anchor="bookmark=id.44sinio">
        <w:r w:rsidR="002A35DC">
          <w:rPr>
            <w:rFonts w:eastAsia="Arial"/>
            <w:i w:val="0"/>
            <w:color w:val="0000FF"/>
            <w:sz w:val="22"/>
            <w:szCs w:val="22"/>
            <w:u w:val="single"/>
          </w:rPr>
          <w:t>Anexo IV</w:t>
        </w:r>
      </w:hyperlink>
      <w:r w:rsidR="002A35DC">
        <w:rPr>
          <w:rFonts w:eastAsia="Arial"/>
          <w:i w:val="0"/>
          <w:color w:val="000000"/>
          <w:sz w:val="22"/>
          <w:szCs w:val="22"/>
        </w:rPr>
        <w:t xml:space="preserve"> </w:t>
      </w:r>
      <w:r w:rsidR="002A35DC">
        <w:rPr>
          <w:rFonts w:eastAsia="Arial"/>
          <w:i w:val="0"/>
          <w:color w:val="000000"/>
          <w:sz w:val="22"/>
          <w:szCs w:val="22"/>
        </w:rPr>
        <w:tab/>
        <w:t xml:space="preserve">Documentación a presentar por las empresas licitadoras </w:t>
      </w:r>
    </w:p>
    <w:p w:rsidR="00584DA1" w:rsidRDefault="007435F4">
      <w:pPr>
        <w:pBdr>
          <w:top w:val="nil"/>
          <w:left w:val="nil"/>
          <w:bottom w:val="nil"/>
          <w:right w:val="nil"/>
          <w:between w:val="nil"/>
        </w:pBdr>
        <w:spacing w:line="360" w:lineRule="auto"/>
        <w:ind w:left="2118" w:hanging="1410"/>
        <w:jc w:val="both"/>
        <w:rPr>
          <w:rFonts w:eastAsia="Arial"/>
          <w:i w:val="0"/>
          <w:strike/>
          <w:color w:val="FF0000"/>
          <w:sz w:val="22"/>
          <w:szCs w:val="22"/>
        </w:rPr>
      </w:pPr>
      <w:hyperlink w:anchor="bookmark=id.gjdgxs">
        <w:r w:rsidR="002A35DC">
          <w:rPr>
            <w:rFonts w:eastAsia="Arial"/>
            <w:i w:val="0"/>
            <w:color w:val="0000FF"/>
            <w:sz w:val="22"/>
            <w:szCs w:val="22"/>
            <w:u w:val="single"/>
          </w:rPr>
          <w:t>Anexo IV</w:t>
        </w:r>
      </w:hyperlink>
      <w:r w:rsidR="002A35DC">
        <w:rPr>
          <w:rFonts w:eastAsia="Arial"/>
          <w:i w:val="0"/>
          <w:color w:val="0000FF"/>
          <w:sz w:val="24"/>
          <w:szCs w:val="24"/>
          <w:u w:val="single"/>
        </w:rPr>
        <w:t>.1</w:t>
      </w:r>
      <w:r w:rsidR="002A35DC">
        <w:rPr>
          <w:rFonts w:eastAsia="Arial"/>
          <w:i w:val="0"/>
          <w:color w:val="0000FF"/>
          <w:sz w:val="24"/>
          <w:szCs w:val="24"/>
        </w:rPr>
        <w:tab/>
      </w:r>
      <w:r w:rsidR="002A35DC">
        <w:rPr>
          <w:rFonts w:eastAsia="Arial"/>
          <w:i w:val="0"/>
          <w:color w:val="000000"/>
          <w:sz w:val="22"/>
          <w:szCs w:val="22"/>
        </w:rPr>
        <w:t>Documentación acreditativa de capacidad.</w:t>
      </w:r>
    </w:p>
    <w:p w:rsidR="00584DA1" w:rsidRDefault="007435F4">
      <w:pPr>
        <w:pBdr>
          <w:top w:val="nil"/>
          <w:left w:val="nil"/>
          <w:bottom w:val="nil"/>
          <w:right w:val="nil"/>
          <w:between w:val="nil"/>
        </w:pBdr>
        <w:spacing w:line="360" w:lineRule="auto"/>
        <w:ind w:left="2118" w:hanging="1410"/>
        <w:jc w:val="both"/>
        <w:rPr>
          <w:rFonts w:eastAsia="Arial"/>
          <w:i w:val="0"/>
          <w:color w:val="000000"/>
          <w:sz w:val="22"/>
          <w:szCs w:val="22"/>
        </w:rPr>
      </w:pPr>
      <w:hyperlink w:anchor="bookmark=id.2jxsxqh">
        <w:r w:rsidR="002A35DC">
          <w:rPr>
            <w:rFonts w:eastAsia="Arial"/>
            <w:i w:val="0"/>
            <w:color w:val="0000FF"/>
            <w:sz w:val="22"/>
            <w:szCs w:val="22"/>
            <w:u w:val="single"/>
          </w:rPr>
          <w:t>Anexo IV.2</w:t>
        </w:r>
      </w:hyperlink>
      <w:r w:rsidR="002A35DC">
        <w:rPr>
          <w:rFonts w:eastAsia="Arial"/>
          <w:i w:val="0"/>
          <w:color w:val="000000"/>
          <w:sz w:val="22"/>
          <w:szCs w:val="22"/>
        </w:rPr>
        <w:tab/>
        <w:t xml:space="preserve">Declaración Responsable General de la empresa adjudicataria   </w:t>
      </w:r>
    </w:p>
    <w:p w:rsidR="00584DA1" w:rsidRDefault="007435F4">
      <w:pPr>
        <w:pBdr>
          <w:top w:val="nil"/>
          <w:left w:val="nil"/>
          <w:bottom w:val="nil"/>
          <w:right w:val="nil"/>
          <w:between w:val="nil"/>
        </w:pBdr>
        <w:spacing w:line="360" w:lineRule="auto"/>
        <w:ind w:left="2118" w:hanging="1410"/>
        <w:jc w:val="both"/>
        <w:rPr>
          <w:rFonts w:eastAsia="Arial"/>
          <w:i w:val="0"/>
          <w:strike/>
          <w:color w:val="000000"/>
          <w:sz w:val="22"/>
          <w:szCs w:val="22"/>
        </w:rPr>
      </w:pPr>
      <w:hyperlink w:anchor="bookmark=id.z337ya">
        <w:r w:rsidR="002A35DC">
          <w:rPr>
            <w:rFonts w:eastAsia="Arial"/>
            <w:i w:val="0"/>
            <w:color w:val="0000FF"/>
            <w:sz w:val="22"/>
            <w:szCs w:val="22"/>
            <w:u w:val="single"/>
          </w:rPr>
          <w:t>Anexo IV.</w:t>
        </w:r>
      </w:hyperlink>
      <w:r w:rsidR="002A35DC">
        <w:rPr>
          <w:rFonts w:eastAsia="Arial"/>
          <w:i w:val="0"/>
          <w:color w:val="1F497D"/>
          <w:sz w:val="22"/>
          <w:szCs w:val="22"/>
        </w:rPr>
        <w:t>3</w:t>
      </w:r>
      <w:r w:rsidR="002A35DC">
        <w:rPr>
          <w:rFonts w:eastAsia="Arial"/>
          <w:i w:val="0"/>
          <w:color w:val="000080"/>
          <w:sz w:val="22"/>
          <w:szCs w:val="22"/>
        </w:rPr>
        <w:t xml:space="preserve"> </w:t>
      </w:r>
      <w:r w:rsidR="002A35DC">
        <w:rPr>
          <w:rFonts w:eastAsia="Arial"/>
          <w:i w:val="0"/>
          <w:color w:val="000000"/>
          <w:sz w:val="22"/>
          <w:szCs w:val="22"/>
        </w:rPr>
        <w:tab/>
        <w:t>Modelo normalizado de presentación de la documentación de capacidad</w:t>
      </w:r>
    </w:p>
    <w:p w:rsidR="00584DA1" w:rsidRDefault="007435F4">
      <w:pPr>
        <w:pBdr>
          <w:top w:val="nil"/>
          <w:left w:val="nil"/>
          <w:bottom w:val="nil"/>
          <w:right w:val="nil"/>
          <w:between w:val="nil"/>
        </w:pBdr>
        <w:spacing w:line="360" w:lineRule="auto"/>
        <w:ind w:left="1410" w:hanging="1410"/>
        <w:jc w:val="both"/>
        <w:rPr>
          <w:rFonts w:eastAsia="Arial"/>
          <w:i w:val="0"/>
          <w:color w:val="000000"/>
          <w:sz w:val="24"/>
          <w:szCs w:val="24"/>
        </w:rPr>
      </w:pPr>
      <w:hyperlink w:anchor="bookmark=id.1fob9te">
        <w:r w:rsidR="002A35DC">
          <w:rPr>
            <w:rFonts w:eastAsia="Arial"/>
            <w:i w:val="0"/>
            <w:color w:val="0000FF"/>
            <w:sz w:val="22"/>
            <w:szCs w:val="22"/>
            <w:u w:val="single"/>
          </w:rPr>
          <w:t>Anexo VI</w:t>
        </w:r>
      </w:hyperlink>
      <w:r w:rsidR="002A35DC">
        <w:rPr>
          <w:rFonts w:eastAsia="Arial"/>
          <w:i w:val="0"/>
          <w:color w:val="000080"/>
          <w:sz w:val="22"/>
          <w:szCs w:val="22"/>
        </w:rPr>
        <w:tab/>
      </w:r>
      <w:r w:rsidR="002A35DC">
        <w:rPr>
          <w:rFonts w:eastAsia="Arial"/>
          <w:i w:val="0"/>
          <w:color w:val="000000"/>
          <w:sz w:val="22"/>
          <w:szCs w:val="22"/>
        </w:rPr>
        <w:t>Condiciones especiales de ejecución</w:t>
      </w:r>
    </w:p>
    <w:p w:rsidR="00584DA1" w:rsidRDefault="007435F4">
      <w:pPr>
        <w:pBdr>
          <w:top w:val="nil"/>
          <w:left w:val="nil"/>
          <w:bottom w:val="nil"/>
          <w:right w:val="nil"/>
          <w:between w:val="nil"/>
        </w:pBdr>
        <w:spacing w:line="360" w:lineRule="auto"/>
        <w:ind w:left="1410" w:hanging="1410"/>
        <w:jc w:val="both"/>
        <w:rPr>
          <w:rFonts w:eastAsia="Arial"/>
          <w:i w:val="0"/>
          <w:color w:val="000080"/>
          <w:sz w:val="22"/>
          <w:szCs w:val="22"/>
        </w:rPr>
      </w:pPr>
      <w:hyperlink w:anchor="bookmark=id.3znysh7">
        <w:r w:rsidR="002A35DC">
          <w:rPr>
            <w:rFonts w:eastAsia="Arial"/>
            <w:i w:val="0"/>
            <w:color w:val="0000FF"/>
            <w:sz w:val="22"/>
            <w:szCs w:val="22"/>
            <w:u w:val="single"/>
          </w:rPr>
          <w:t>Anexo VII</w:t>
        </w:r>
      </w:hyperlink>
      <w:r w:rsidR="002A35DC">
        <w:rPr>
          <w:rFonts w:eastAsia="Arial"/>
          <w:i w:val="0"/>
          <w:color w:val="000000"/>
          <w:sz w:val="22"/>
          <w:szCs w:val="22"/>
        </w:rPr>
        <w:tab/>
        <w:t xml:space="preserve">Documento Europeo Único de Contratación </w:t>
      </w:r>
    </w:p>
    <w:p w:rsidR="00584DA1" w:rsidRDefault="007435F4">
      <w:pPr>
        <w:pBdr>
          <w:top w:val="nil"/>
          <w:left w:val="nil"/>
          <w:bottom w:val="nil"/>
          <w:right w:val="nil"/>
          <w:between w:val="nil"/>
        </w:pBdr>
        <w:spacing w:line="360" w:lineRule="auto"/>
        <w:ind w:left="1410" w:hanging="1410"/>
        <w:jc w:val="both"/>
        <w:rPr>
          <w:rFonts w:eastAsia="Arial"/>
          <w:i w:val="0"/>
          <w:color w:val="000000"/>
          <w:sz w:val="24"/>
          <w:szCs w:val="24"/>
        </w:rPr>
      </w:pPr>
      <w:hyperlink w:anchor="bookmark=id.2et92p0">
        <w:r w:rsidR="002A35DC">
          <w:rPr>
            <w:rFonts w:eastAsia="Arial"/>
            <w:i w:val="0"/>
            <w:color w:val="0000FF"/>
            <w:sz w:val="22"/>
            <w:szCs w:val="22"/>
            <w:u w:val="single"/>
          </w:rPr>
          <w:t>Anexo VIII</w:t>
        </w:r>
      </w:hyperlink>
      <w:r w:rsidR="002A35DC">
        <w:rPr>
          <w:rFonts w:eastAsia="Arial"/>
          <w:i w:val="0"/>
          <w:color w:val="000080"/>
          <w:sz w:val="22"/>
          <w:szCs w:val="22"/>
        </w:rPr>
        <w:tab/>
      </w:r>
      <w:r w:rsidR="002A35DC">
        <w:rPr>
          <w:rFonts w:eastAsia="Arial"/>
          <w:i w:val="0"/>
          <w:color w:val="000000"/>
          <w:sz w:val="22"/>
          <w:szCs w:val="22"/>
        </w:rPr>
        <w:t>Penalidades</w:t>
      </w:r>
      <w:r w:rsidR="002A35DC">
        <w:rPr>
          <w:rFonts w:eastAsia="Arial"/>
          <w:i w:val="0"/>
          <w:color w:val="000000"/>
          <w:sz w:val="22"/>
          <w:szCs w:val="22"/>
        </w:rPr>
        <w:tab/>
      </w:r>
    </w:p>
    <w:p w:rsidR="00584DA1" w:rsidRDefault="007435F4">
      <w:pPr>
        <w:pBdr>
          <w:top w:val="nil"/>
          <w:left w:val="nil"/>
          <w:bottom w:val="nil"/>
          <w:right w:val="nil"/>
          <w:between w:val="nil"/>
        </w:pBdr>
        <w:spacing w:line="360" w:lineRule="auto"/>
        <w:ind w:left="1410" w:hanging="1410"/>
        <w:jc w:val="both"/>
        <w:rPr>
          <w:rFonts w:eastAsia="Arial"/>
          <w:i w:val="0"/>
          <w:color w:val="000080"/>
          <w:sz w:val="22"/>
          <w:szCs w:val="22"/>
        </w:rPr>
      </w:pPr>
      <w:hyperlink w:anchor="bookmark=id.3rdcrjn">
        <w:r w:rsidR="002A35DC">
          <w:rPr>
            <w:rFonts w:eastAsia="Arial"/>
            <w:i w:val="0"/>
            <w:color w:val="0000FF"/>
            <w:sz w:val="22"/>
            <w:szCs w:val="22"/>
            <w:u w:val="single"/>
          </w:rPr>
          <w:t>Anexo IX</w:t>
        </w:r>
      </w:hyperlink>
      <w:r w:rsidR="002A35DC">
        <w:rPr>
          <w:rFonts w:eastAsia="Arial"/>
          <w:i w:val="0"/>
          <w:color w:val="000080"/>
          <w:sz w:val="22"/>
          <w:szCs w:val="22"/>
        </w:rPr>
        <w:tab/>
      </w:r>
      <w:r w:rsidR="002A35DC">
        <w:rPr>
          <w:rFonts w:eastAsia="Arial"/>
          <w:i w:val="0"/>
          <w:color w:val="000000"/>
          <w:sz w:val="22"/>
          <w:szCs w:val="22"/>
        </w:rPr>
        <w:t>Modificaciones contractuales previstas</w:t>
      </w:r>
    </w:p>
    <w:p w:rsidR="00584DA1" w:rsidRDefault="007435F4">
      <w:pPr>
        <w:pBdr>
          <w:top w:val="nil"/>
          <w:left w:val="nil"/>
          <w:bottom w:val="nil"/>
          <w:right w:val="nil"/>
          <w:between w:val="nil"/>
        </w:pBdr>
        <w:spacing w:line="360" w:lineRule="auto"/>
        <w:ind w:left="1410" w:hanging="1410"/>
        <w:jc w:val="both"/>
        <w:rPr>
          <w:rFonts w:eastAsia="Arial"/>
          <w:i w:val="0"/>
          <w:color w:val="000000"/>
          <w:sz w:val="24"/>
          <w:szCs w:val="24"/>
        </w:rPr>
      </w:pPr>
      <w:hyperlink w:anchor="bookmark=id.26in1rg">
        <w:r w:rsidR="002A35DC">
          <w:rPr>
            <w:rFonts w:eastAsia="Arial"/>
            <w:i w:val="0"/>
            <w:color w:val="0000FF"/>
            <w:sz w:val="22"/>
            <w:szCs w:val="22"/>
            <w:u w:val="single"/>
          </w:rPr>
          <w:t>Anexo X</w:t>
        </w:r>
      </w:hyperlink>
      <w:r w:rsidR="002A35DC">
        <w:rPr>
          <w:rFonts w:eastAsia="Arial"/>
          <w:i w:val="0"/>
          <w:color w:val="000080"/>
          <w:sz w:val="22"/>
          <w:szCs w:val="22"/>
        </w:rPr>
        <w:tab/>
      </w:r>
      <w:r w:rsidR="002A35DC">
        <w:rPr>
          <w:rFonts w:eastAsia="Arial"/>
          <w:i w:val="0"/>
          <w:color w:val="000000"/>
          <w:sz w:val="22"/>
          <w:szCs w:val="22"/>
        </w:rPr>
        <w:t>Causas específicas de resolución contractual</w:t>
      </w:r>
    </w:p>
    <w:p w:rsidR="00584DA1" w:rsidRDefault="007435F4">
      <w:pPr>
        <w:pBdr>
          <w:top w:val="nil"/>
          <w:left w:val="nil"/>
          <w:bottom w:val="nil"/>
          <w:right w:val="nil"/>
          <w:between w:val="nil"/>
        </w:pBdr>
        <w:spacing w:line="360" w:lineRule="auto"/>
        <w:ind w:left="1410" w:hanging="1410"/>
        <w:jc w:val="both"/>
        <w:rPr>
          <w:rFonts w:eastAsia="Arial"/>
          <w:i w:val="0"/>
          <w:color w:val="000080"/>
          <w:sz w:val="22"/>
          <w:szCs w:val="22"/>
        </w:rPr>
      </w:pPr>
      <w:hyperlink w:anchor="bookmark=id.lnxbz9">
        <w:r w:rsidR="002A35DC">
          <w:rPr>
            <w:rFonts w:eastAsia="Arial"/>
            <w:i w:val="0"/>
            <w:color w:val="0000FF"/>
            <w:sz w:val="22"/>
            <w:szCs w:val="22"/>
            <w:u w:val="single"/>
          </w:rPr>
          <w:t>Anexo XI</w:t>
        </w:r>
      </w:hyperlink>
      <w:r w:rsidR="002A35DC">
        <w:rPr>
          <w:rFonts w:eastAsia="Arial"/>
          <w:i w:val="0"/>
          <w:color w:val="000080"/>
          <w:sz w:val="22"/>
          <w:szCs w:val="22"/>
        </w:rPr>
        <w:tab/>
      </w:r>
      <w:r w:rsidR="002A35DC">
        <w:rPr>
          <w:rFonts w:eastAsia="Arial"/>
          <w:i w:val="0"/>
          <w:color w:val="000000"/>
          <w:sz w:val="22"/>
          <w:szCs w:val="22"/>
        </w:rPr>
        <w:t>Criterios de adjudicación</w:t>
      </w:r>
      <w:r w:rsidR="002A35DC">
        <w:rPr>
          <w:rFonts w:eastAsia="Arial"/>
          <w:i w:val="0"/>
          <w:color w:val="000080"/>
          <w:sz w:val="22"/>
          <w:szCs w:val="22"/>
        </w:rPr>
        <w:t xml:space="preserve"> </w:t>
      </w:r>
    </w:p>
    <w:p w:rsidR="00584DA1" w:rsidRDefault="007435F4">
      <w:pPr>
        <w:pBdr>
          <w:top w:val="nil"/>
          <w:left w:val="nil"/>
          <w:bottom w:val="nil"/>
          <w:right w:val="nil"/>
          <w:between w:val="nil"/>
        </w:pBdr>
        <w:spacing w:line="360" w:lineRule="auto"/>
        <w:ind w:left="1410" w:hanging="1410"/>
        <w:jc w:val="both"/>
        <w:rPr>
          <w:rFonts w:eastAsia="Arial"/>
          <w:i w:val="0"/>
          <w:color w:val="000080"/>
          <w:sz w:val="22"/>
          <w:szCs w:val="22"/>
        </w:rPr>
      </w:pPr>
      <w:hyperlink w:anchor="bookmark=id.3j2qqm3">
        <w:r w:rsidR="002A35DC">
          <w:rPr>
            <w:rFonts w:eastAsia="Arial"/>
            <w:i w:val="0"/>
            <w:color w:val="0000FF"/>
            <w:sz w:val="22"/>
            <w:szCs w:val="22"/>
            <w:u w:val="single"/>
          </w:rPr>
          <w:t>Anexo XI</w:t>
        </w:r>
      </w:hyperlink>
      <w:r w:rsidR="002A35DC">
        <w:rPr>
          <w:rFonts w:eastAsia="Arial"/>
          <w:i w:val="0"/>
          <w:color w:val="0000FF"/>
          <w:sz w:val="22"/>
          <w:szCs w:val="22"/>
          <w:u w:val="single"/>
        </w:rPr>
        <w:t>I</w:t>
      </w:r>
      <w:r w:rsidR="002A35DC">
        <w:rPr>
          <w:rFonts w:eastAsia="Arial"/>
          <w:i w:val="0"/>
          <w:color w:val="0000FF"/>
          <w:sz w:val="22"/>
          <w:szCs w:val="22"/>
        </w:rPr>
        <w:tab/>
      </w:r>
      <w:r w:rsidR="002A35DC">
        <w:rPr>
          <w:rFonts w:eastAsia="Arial"/>
          <w:i w:val="0"/>
          <w:color w:val="000000"/>
          <w:sz w:val="22"/>
          <w:szCs w:val="22"/>
        </w:rPr>
        <w:t xml:space="preserve">Desglose costes </w:t>
      </w: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p w:rsidR="00584DA1" w:rsidRDefault="00584DA1">
      <w:pPr>
        <w:pBdr>
          <w:top w:val="nil"/>
          <w:left w:val="nil"/>
          <w:bottom w:val="nil"/>
          <w:right w:val="nil"/>
          <w:between w:val="nil"/>
        </w:pBdr>
        <w:spacing w:line="360" w:lineRule="auto"/>
        <w:ind w:left="1410" w:hanging="1410"/>
        <w:jc w:val="both"/>
        <w:rPr>
          <w:rFonts w:eastAsia="Arial"/>
          <w:i w:val="0"/>
          <w:color w:val="000000"/>
          <w:sz w:val="22"/>
          <w:szCs w:val="22"/>
        </w:rPr>
      </w:pPr>
    </w:p>
    <w:tbl>
      <w:tblPr>
        <w:tblStyle w:val="a0"/>
        <w:tblW w:w="9691" w:type="dxa"/>
        <w:tblInd w:w="-216" w:type="dxa"/>
        <w:tblLayout w:type="fixed"/>
        <w:tblLook w:val="0000" w:firstRow="0" w:lastRow="0" w:firstColumn="0" w:lastColumn="0" w:noHBand="0" w:noVBand="0"/>
      </w:tblPr>
      <w:tblGrid>
        <w:gridCol w:w="9691"/>
      </w:tblGrid>
      <w:tr w:rsidR="00584DA1" w:rsidTr="00C94026">
        <w:trPr>
          <w:trHeight w:val="694"/>
        </w:trPr>
        <w:tc>
          <w:tcPr>
            <w:tcW w:w="9691" w:type="dxa"/>
            <w:shd w:val="clear" w:color="auto" w:fill="00B0F0"/>
          </w:tcPr>
          <w:p w:rsidR="00584DA1" w:rsidRDefault="002A35DC">
            <w:pPr>
              <w:ind w:left="2" w:hanging="2"/>
              <w:jc w:val="both"/>
              <w:rPr>
                <w:i w:val="0"/>
                <w:color w:val="FFFFFF"/>
                <w:sz w:val="24"/>
                <w:szCs w:val="24"/>
              </w:rPr>
            </w:pPr>
            <w:r>
              <w:rPr>
                <w:b/>
                <w:i w:val="0"/>
                <w:color w:val="FFFFFF"/>
                <w:sz w:val="24"/>
                <w:szCs w:val="24"/>
              </w:rPr>
              <w:lastRenderedPageBreak/>
              <w:t>Anexo II.</w:t>
            </w:r>
          </w:p>
          <w:p w:rsidR="00584DA1" w:rsidRDefault="002A35DC">
            <w:pPr>
              <w:ind w:left="2" w:hanging="2"/>
              <w:jc w:val="both"/>
              <w:rPr>
                <w:i w:val="0"/>
                <w:color w:val="FFFFFF"/>
              </w:rPr>
            </w:pPr>
            <w:r>
              <w:rPr>
                <w:b/>
                <w:i w:val="0"/>
                <w:color w:val="FFFFFF"/>
              </w:rPr>
              <w:t xml:space="preserve">Datos identificativos de la empresa participante en la licitación </w:t>
            </w:r>
          </w:p>
        </w:tc>
      </w:tr>
    </w:tbl>
    <w:p w:rsidR="00584DA1" w:rsidRDefault="00584DA1">
      <w:pPr>
        <w:ind w:left="2" w:hanging="2"/>
      </w:pPr>
    </w:p>
    <w:tbl>
      <w:tblPr>
        <w:tblStyle w:val="a1"/>
        <w:tblW w:w="9045" w:type="dxa"/>
        <w:tblInd w:w="-215"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584DA1">
        <w:tc>
          <w:tcPr>
            <w:tcW w:w="9045" w:type="dxa"/>
            <w:gridSpan w:val="3"/>
            <w:tcBorders>
              <w:top w:val="single" w:sz="18" w:space="0" w:color="1F497D"/>
              <w:left w:val="single" w:sz="18" w:space="0" w:color="1F497D"/>
              <w:right w:val="single" w:sz="18" w:space="0" w:color="1F497D"/>
            </w:tcBorders>
            <w:shd w:val="clear" w:color="auto" w:fill="00B0F0"/>
          </w:tcPr>
          <w:p w:rsidR="00584DA1" w:rsidRDefault="002A35DC">
            <w:pPr>
              <w:ind w:left="2" w:hanging="2"/>
              <w:jc w:val="both"/>
              <w:rPr>
                <w:i w:val="0"/>
                <w:color w:val="FFFFFF"/>
                <w:sz w:val="18"/>
                <w:szCs w:val="18"/>
              </w:rPr>
            </w:pPr>
            <w:r>
              <w:rPr>
                <w:b/>
                <w:i w:val="0"/>
                <w:color w:val="FFFFFF"/>
                <w:sz w:val="18"/>
                <w:szCs w:val="18"/>
              </w:rPr>
              <w:t>Código de la licitación a la que concurre</w:t>
            </w:r>
          </w:p>
        </w:tc>
      </w:tr>
      <w:tr w:rsidR="00584DA1">
        <w:tc>
          <w:tcPr>
            <w:tcW w:w="9045" w:type="dxa"/>
            <w:gridSpan w:val="3"/>
            <w:tcBorders>
              <w:left w:val="single" w:sz="18" w:space="0" w:color="1F497D"/>
              <w:right w:val="single" w:sz="18" w:space="0" w:color="1F497D"/>
            </w:tcBorders>
            <w:shd w:val="clear" w:color="auto" w:fill="auto"/>
          </w:tcPr>
          <w:p w:rsidR="00584DA1" w:rsidRDefault="00584DA1">
            <w:pPr>
              <w:jc w:val="both"/>
              <w:rPr>
                <w:i w:val="0"/>
                <w:color w:val="000000"/>
                <w:sz w:val="18"/>
                <w:szCs w:val="18"/>
              </w:rPr>
            </w:pPr>
          </w:p>
          <w:p w:rsidR="00584DA1" w:rsidRDefault="002A35DC">
            <w:pPr>
              <w:jc w:val="both"/>
              <w:rPr>
                <w:i w:val="0"/>
                <w:color w:val="000000"/>
                <w:sz w:val="18"/>
                <w:szCs w:val="18"/>
              </w:rPr>
            </w:pPr>
            <w:r>
              <w:rPr>
                <w:i w:val="0"/>
                <w:color w:val="000000"/>
                <w:sz w:val="18"/>
                <w:szCs w:val="18"/>
              </w:rPr>
              <w:t>CP_____/____</w:t>
            </w:r>
          </w:p>
          <w:p w:rsidR="00584DA1" w:rsidRDefault="00584DA1">
            <w:pPr>
              <w:jc w:val="both"/>
              <w:rPr>
                <w:i w:val="0"/>
                <w:color w:val="000000"/>
                <w:sz w:val="18"/>
                <w:szCs w:val="18"/>
              </w:rPr>
            </w:pPr>
          </w:p>
        </w:tc>
      </w:tr>
      <w:tr w:rsidR="00584DA1">
        <w:tc>
          <w:tcPr>
            <w:tcW w:w="9045" w:type="dxa"/>
            <w:gridSpan w:val="3"/>
            <w:tcBorders>
              <w:left w:val="single" w:sz="18" w:space="0" w:color="1F497D"/>
              <w:right w:val="single" w:sz="18" w:space="0" w:color="1F497D"/>
            </w:tcBorders>
            <w:shd w:val="clear" w:color="auto" w:fill="00B0F0"/>
          </w:tcPr>
          <w:p w:rsidR="00584DA1" w:rsidRDefault="002A35DC">
            <w:pPr>
              <w:ind w:left="2" w:hanging="2"/>
              <w:jc w:val="both"/>
              <w:rPr>
                <w:i w:val="0"/>
                <w:color w:val="FFFFFF"/>
                <w:sz w:val="18"/>
                <w:szCs w:val="18"/>
              </w:rPr>
            </w:pPr>
            <w:r>
              <w:rPr>
                <w:b/>
                <w:i w:val="0"/>
                <w:color w:val="FFFFFF"/>
                <w:sz w:val="18"/>
                <w:szCs w:val="18"/>
              </w:rPr>
              <w:t>Número de lotes e identificación (cumplimentar solo en caso de licitación por lotes)</w:t>
            </w:r>
          </w:p>
        </w:tc>
      </w:tr>
      <w:tr w:rsidR="00584DA1">
        <w:tc>
          <w:tcPr>
            <w:tcW w:w="9045" w:type="dxa"/>
            <w:gridSpan w:val="3"/>
            <w:tcBorders>
              <w:left w:val="single" w:sz="18" w:space="0" w:color="1F497D"/>
              <w:right w:val="single" w:sz="18" w:space="0" w:color="1F497D"/>
            </w:tcBorders>
            <w:shd w:val="clear" w:color="auto" w:fill="auto"/>
          </w:tcPr>
          <w:p w:rsidR="00584DA1" w:rsidRDefault="00584DA1">
            <w:pPr>
              <w:ind w:left="2" w:hanging="2"/>
              <w:jc w:val="both"/>
              <w:rPr>
                <w:i w:val="0"/>
                <w:color w:val="000000"/>
                <w:sz w:val="18"/>
                <w:szCs w:val="18"/>
              </w:rPr>
            </w:pPr>
          </w:p>
          <w:p w:rsidR="00584DA1" w:rsidRDefault="00584DA1">
            <w:pPr>
              <w:ind w:left="2" w:hanging="2"/>
              <w:jc w:val="both"/>
              <w:rPr>
                <w:i w:val="0"/>
                <w:color w:val="000000"/>
                <w:sz w:val="18"/>
                <w:szCs w:val="18"/>
              </w:rPr>
            </w:pPr>
          </w:p>
        </w:tc>
      </w:tr>
      <w:tr w:rsidR="00584DA1">
        <w:tc>
          <w:tcPr>
            <w:tcW w:w="9045" w:type="dxa"/>
            <w:gridSpan w:val="3"/>
            <w:tcBorders>
              <w:left w:val="single" w:sz="18" w:space="0" w:color="1F497D"/>
              <w:right w:val="single" w:sz="18" w:space="0" w:color="1F497D"/>
            </w:tcBorders>
            <w:shd w:val="clear" w:color="auto" w:fill="00B0F0"/>
          </w:tcPr>
          <w:p w:rsidR="00584DA1" w:rsidRDefault="002A35DC">
            <w:pPr>
              <w:ind w:left="2" w:hanging="2"/>
              <w:jc w:val="both"/>
              <w:rPr>
                <w:i w:val="0"/>
                <w:color w:val="FFFFFF"/>
                <w:sz w:val="18"/>
                <w:szCs w:val="18"/>
              </w:rPr>
            </w:pPr>
            <w:r>
              <w:rPr>
                <w:b/>
                <w:i w:val="0"/>
                <w:color w:val="FFFFFF"/>
                <w:sz w:val="18"/>
                <w:szCs w:val="18"/>
              </w:rPr>
              <w:t xml:space="preserve">Datos de identificación del empresario licitador </w:t>
            </w:r>
          </w:p>
        </w:tc>
      </w:tr>
      <w:tr w:rsidR="00584DA1">
        <w:tc>
          <w:tcPr>
            <w:tcW w:w="9045" w:type="dxa"/>
            <w:gridSpan w:val="3"/>
            <w:tcBorders>
              <w:left w:val="single" w:sz="18" w:space="0" w:color="1F497D"/>
              <w:bottom w:val="single" w:sz="4" w:space="0" w:color="000000"/>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Nombre y apellidos / Razón social de la empresa:</w:t>
            </w:r>
          </w:p>
          <w:p w:rsidR="00584DA1" w:rsidRDefault="00584DA1">
            <w:pPr>
              <w:ind w:left="2" w:hanging="2"/>
              <w:jc w:val="both"/>
              <w:rPr>
                <w:i w:val="0"/>
                <w:color w:val="000000"/>
                <w:sz w:val="18"/>
                <w:szCs w:val="18"/>
              </w:rPr>
            </w:pPr>
          </w:p>
        </w:tc>
      </w:tr>
      <w:tr w:rsidR="00584DA1">
        <w:tc>
          <w:tcPr>
            <w:tcW w:w="3330" w:type="dxa"/>
            <w:tcBorders>
              <w:top w:val="single" w:sz="4" w:space="0" w:color="000000"/>
              <w:left w:val="single" w:sz="18" w:space="0" w:color="1F497D"/>
              <w:bottom w:val="single" w:sz="4" w:space="0" w:color="000000"/>
            </w:tcBorders>
            <w:shd w:val="clear" w:color="auto" w:fill="auto"/>
          </w:tcPr>
          <w:p w:rsidR="00584DA1" w:rsidRDefault="002A35DC">
            <w:pPr>
              <w:ind w:left="2" w:hanging="2"/>
              <w:jc w:val="both"/>
              <w:rPr>
                <w:i w:val="0"/>
                <w:color w:val="000000"/>
                <w:sz w:val="18"/>
                <w:szCs w:val="18"/>
              </w:rPr>
            </w:pPr>
            <w:r>
              <w:rPr>
                <w:i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584DA1" w:rsidRDefault="002A35DC">
            <w:pPr>
              <w:ind w:left="2" w:hanging="2"/>
              <w:jc w:val="both"/>
              <w:rPr>
                <w:i w:val="0"/>
                <w:color w:val="000000"/>
                <w:sz w:val="18"/>
                <w:szCs w:val="18"/>
              </w:rPr>
            </w:pPr>
            <w:r>
              <w:rPr>
                <w:i w:val="0"/>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 xml:space="preserve">PYME    </w:t>
            </w:r>
            <w:bookmarkStart w:id="0" w:name="bookmark=id.3dy6vkm" w:colFirst="0" w:colLast="0"/>
            <w:bookmarkEnd w:id="0"/>
            <w:r>
              <w:rPr>
                <w:rFonts w:eastAsia="Arial"/>
                <w:i w:val="0"/>
                <w:color w:val="000000"/>
                <w:sz w:val="18"/>
                <w:szCs w:val="18"/>
              </w:rPr>
              <w:t>☐</w:t>
            </w:r>
            <w:r>
              <w:rPr>
                <w:i w:val="0"/>
                <w:color w:val="000000"/>
                <w:sz w:val="18"/>
                <w:szCs w:val="18"/>
              </w:rPr>
              <w:t xml:space="preserve"> sí     </w:t>
            </w:r>
            <w:bookmarkStart w:id="1" w:name="bookmark=id.1t3h5sf" w:colFirst="0" w:colLast="0"/>
            <w:bookmarkEnd w:id="1"/>
            <w:r>
              <w:rPr>
                <w:rFonts w:eastAsia="Arial"/>
                <w:i w:val="0"/>
                <w:color w:val="000000"/>
                <w:sz w:val="18"/>
                <w:szCs w:val="18"/>
              </w:rPr>
              <w:t>☐</w:t>
            </w:r>
            <w:r>
              <w:rPr>
                <w:i w:val="0"/>
                <w:color w:val="000000"/>
                <w:sz w:val="18"/>
                <w:szCs w:val="18"/>
              </w:rPr>
              <w:t xml:space="preserve"> no</w:t>
            </w:r>
          </w:p>
        </w:tc>
      </w:tr>
      <w:tr w:rsidR="00584DA1">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 xml:space="preserve">DIRECCIÓN POSTAL: </w:t>
            </w:r>
          </w:p>
          <w:p w:rsidR="00584DA1" w:rsidRDefault="00584DA1">
            <w:pPr>
              <w:ind w:left="2" w:hanging="2"/>
              <w:jc w:val="both"/>
              <w:rPr>
                <w:i w:val="0"/>
                <w:color w:val="000000"/>
                <w:sz w:val="18"/>
                <w:szCs w:val="18"/>
              </w:rPr>
            </w:pPr>
          </w:p>
        </w:tc>
      </w:tr>
      <w:tr w:rsidR="00584DA1">
        <w:tc>
          <w:tcPr>
            <w:tcW w:w="9045" w:type="dxa"/>
            <w:gridSpan w:val="3"/>
            <w:tcBorders>
              <w:top w:val="single" w:sz="4" w:space="0" w:color="000000"/>
              <w:left w:val="single" w:sz="18" w:space="0" w:color="1F497D"/>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URL/WEB</w:t>
            </w:r>
          </w:p>
          <w:p w:rsidR="00584DA1" w:rsidRDefault="00584DA1">
            <w:pPr>
              <w:ind w:left="2" w:hanging="2"/>
              <w:jc w:val="both"/>
              <w:rPr>
                <w:i w:val="0"/>
                <w:color w:val="000000"/>
                <w:sz w:val="18"/>
                <w:szCs w:val="18"/>
              </w:rPr>
            </w:pPr>
          </w:p>
        </w:tc>
      </w:tr>
      <w:tr w:rsidR="00584DA1">
        <w:tc>
          <w:tcPr>
            <w:tcW w:w="9045" w:type="dxa"/>
            <w:gridSpan w:val="3"/>
            <w:tcBorders>
              <w:left w:val="single" w:sz="18" w:space="0" w:color="1F497D"/>
              <w:right w:val="single" w:sz="18" w:space="0" w:color="1F497D"/>
            </w:tcBorders>
            <w:shd w:val="clear" w:color="auto" w:fill="00B0F0"/>
          </w:tcPr>
          <w:p w:rsidR="00584DA1" w:rsidRDefault="002A35DC">
            <w:pPr>
              <w:ind w:left="2" w:hanging="2"/>
              <w:jc w:val="both"/>
              <w:rPr>
                <w:i w:val="0"/>
                <w:color w:val="FFFFFF"/>
                <w:sz w:val="18"/>
                <w:szCs w:val="18"/>
              </w:rPr>
            </w:pPr>
            <w:r>
              <w:rPr>
                <w:b/>
                <w:i w:val="0"/>
                <w:color w:val="FFFFFF"/>
                <w:sz w:val="18"/>
                <w:szCs w:val="18"/>
              </w:rPr>
              <w:t xml:space="preserve">Datos de identificación del representante del licitador </w:t>
            </w:r>
          </w:p>
        </w:tc>
      </w:tr>
      <w:tr w:rsidR="00584DA1">
        <w:tc>
          <w:tcPr>
            <w:tcW w:w="9045" w:type="dxa"/>
            <w:gridSpan w:val="3"/>
            <w:tcBorders>
              <w:left w:val="single" w:sz="18" w:space="0" w:color="1F497D"/>
              <w:bottom w:val="single" w:sz="4" w:space="0" w:color="000000"/>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DNI:</w:t>
            </w:r>
          </w:p>
        </w:tc>
      </w:tr>
      <w:tr w:rsidR="00584DA1">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Nombre y apellidos del representante de la empresa:</w:t>
            </w:r>
          </w:p>
        </w:tc>
      </w:tr>
      <w:tr w:rsidR="00584DA1">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84DA1" w:rsidRDefault="002A35DC">
            <w:pPr>
              <w:jc w:val="both"/>
              <w:rPr>
                <w:i w:val="0"/>
                <w:color w:val="000000"/>
                <w:sz w:val="18"/>
                <w:szCs w:val="18"/>
              </w:rPr>
            </w:pPr>
            <w:r>
              <w:rPr>
                <w:i w:val="0"/>
                <w:color w:val="000000"/>
                <w:sz w:val="18"/>
                <w:szCs w:val="18"/>
              </w:rPr>
              <w:t xml:space="preserve">Nº protocolo  de Poder bastante en derecho a favor del representante legal del licitador: </w:t>
            </w:r>
          </w:p>
        </w:tc>
      </w:tr>
      <w:tr w:rsidR="00584DA1">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84DA1" w:rsidRDefault="002A35DC">
            <w:pPr>
              <w:jc w:val="both"/>
              <w:rPr>
                <w:i w:val="0"/>
                <w:color w:val="000000"/>
                <w:sz w:val="18"/>
                <w:szCs w:val="18"/>
              </w:rPr>
            </w:pPr>
            <w:r>
              <w:rPr>
                <w:i w:val="0"/>
                <w:color w:val="000000"/>
                <w:sz w:val="18"/>
                <w:szCs w:val="18"/>
              </w:rPr>
              <w:t xml:space="preserve">Lugar y fecha de otorgamiento: </w:t>
            </w:r>
          </w:p>
          <w:p w:rsidR="00584DA1" w:rsidRDefault="00584DA1">
            <w:pPr>
              <w:jc w:val="both"/>
              <w:rPr>
                <w:i w:val="0"/>
                <w:color w:val="000000"/>
                <w:sz w:val="18"/>
                <w:szCs w:val="18"/>
              </w:rPr>
            </w:pPr>
          </w:p>
        </w:tc>
      </w:tr>
      <w:tr w:rsidR="00584DA1">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84DA1" w:rsidRDefault="002A35DC">
            <w:pPr>
              <w:jc w:val="both"/>
            </w:pPr>
            <w:r>
              <w:rPr>
                <w:i w:val="0"/>
                <w:color w:val="000000"/>
                <w:sz w:val="18"/>
                <w:szCs w:val="18"/>
              </w:rPr>
              <w:t>Nombre, residencia del notario  y el Colegio Notarial al que pertenece</w:t>
            </w:r>
            <w:r>
              <w:t xml:space="preserve">: </w:t>
            </w:r>
          </w:p>
          <w:p w:rsidR="00584DA1" w:rsidRDefault="00584DA1">
            <w:pPr>
              <w:jc w:val="both"/>
              <w:rPr>
                <w:i w:val="0"/>
                <w:color w:val="000000"/>
                <w:sz w:val="18"/>
                <w:szCs w:val="18"/>
              </w:rPr>
            </w:pPr>
          </w:p>
        </w:tc>
      </w:tr>
      <w:tr w:rsidR="00584DA1">
        <w:tc>
          <w:tcPr>
            <w:tcW w:w="9045" w:type="dxa"/>
            <w:gridSpan w:val="3"/>
            <w:tcBorders>
              <w:left w:val="single" w:sz="18" w:space="0" w:color="1F497D"/>
              <w:right w:val="single" w:sz="18" w:space="0" w:color="1F497D"/>
            </w:tcBorders>
            <w:shd w:val="clear" w:color="auto" w:fill="00B0F0"/>
          </w:tcPr>
          <w:p w:rsidR="00584DA1" w:rsidRDefault="002A35DC">
            <w:pPr>
              <w:ind w:left="2" w:hanging="2"/>
              <w:jc w:val="both"/>
              <w:rPr>
                <w:i w:val="0"/>
                <w:color w:val="FFFFFF"/>
                <w:sz w:val="18"/>
                <w:szCs w:val="18"/>
              </w:rPr>
            </w:pPr>
            <w:r>
              <w:rPr>
                <w:b/>
                <w:i w:val="0"/>
                <w:color w:val="FFFFFF"/>
                <w:sz w:val="18"/>
                <w:szCs w:val="18"/>
              </w:rPr>
              <w:t>Datos persona de contacto</w:t>
            </w:r>
          </w:p>
        </w:tc>
      </w:tr>
      <w:tr w:rsidR="00584DA1">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 xml:space="preserve">Nombre y apellidos: </w:t>
            </w:r>
          </w:p>
        </w:tc>
      </w:tr>
      <w:tr w:rsidR="00584DA1">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Telf.:</w:t>
            </w:r>
          </w:p>
        </w:tc>
      </w:tr>
      <w:tr w:rsidR="00584DA1">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Correo electrónico:</w:t>
            </w:r>
          </w:p>
        </w:tc>
      </w:tr>
      <w:tr w:rsidR="00584DA1">
        <w:tc>
          <w:tcPr>
            <w:tcW w:w="9045" w:type="dxa"/>
            <w:gridSpan w:val="3"/>
            <w:tcBorders>
              <w:left w:val="single" w:sz="18" w:space="0" w:color="1F497D"/>
              <w:right w:val="single" w:sz="18" w:space="0" w:color="1F497D"/>
            </w:tcBorders>
            <w:shd w:val="clear" w:color="auto" w:fill="00B0F0"/>
          </w:tcPr>
          <w:p w:rsidR="00584DA1" w:rsidRDefault="002A35DC">
            <w:pPr>
              <w:ind w:left="2" w:hanging="2"/>
              <w:jc w:val="both"/>
              <w:rPr>
                <w:i w:val="0"/>
                <w:color w:val="FFFFFF"/>
                <w:sz w:val="18"/>
                <w:szCs w:val="18"/>
              </w:rPr>
            </w:pPr>
            <w:r>
              <w:rPr>
                <w:b/>
                <w:i w:val="0"/>
                <w:color w:val="FFFFFF"/>
                <w:sz w:val="18"/>
                <w:szCs w:val="18"/>
              </w:rPr>
              <w:t xml:space="preserve">A efectos de notificación </w:t>
            </w:r>
          </w:p>
        </w:tc>
      </w:tr>
      <w:tr w:rsidR="00584DA1">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584DA1" w:rsidRDefault="002A35DC">
            <w:pPr>
              <w:ind w:left="2" w:hanging="2"/>
              <w:jc w:val="both"/>
              <w:rPr>
                <w:b/>
                <w:i w:val="0"/>
                <w:color w:val="000000"/>
                <w:sz w:val="18"/>
                <w:szCs w:val="18"/>
              </w:rPr>
            </w:pPr>
            <w:r>
              <w:rPr>
                <w:rFonts w:eastAsia="Arial"/>
                <w:i w:val="0"/>
                <w:sz w:val="18"/>
                <w:szCs w:val="18"/>
              </w:rPr>
              <w:t>☐</w:t>
            </w:r>
            <w:bookmarkStart w:id="2" w:name="bookmark=id.4d34og8" w:colFirst="0" w:colLast="0"/>
            <w:bookmarkEnd w:id="2"/>
            <w:r>
              <w:rPr>
                <w:i w:val="0"/>
                <w:sz w:val="18"/>
                <w:szCs w:val="18"/>
              </w:rPr>
              <w:t xml:space="preserve"> </w:t>
            </w:r>
            <w:bookmarkStart w:id="3" w:name="bookmark=id.2s8eyo1" w:colFirst="0" w:colLast="0"/>
            <w:bookmarkEnd w:id="3"/>
            <w:r>
              <w:rPr>
                <w:i w:val="0"/>
                <w:sz w:val="18"/>
                <w:szCs w:val="18"/>
              </w:rPr>
              <w:t>El licitador acepta expresamente recibir las notificaciones por parte de la Mutua de forma electrónica a través del correo más arriba indicado</w:t>
            </w:r>
            <w:r>
              <w:rPr>
                <w:b/>
                <w:i w:val="0"/>
                <w:color w:val="000000"/>
                <w:sz w:val="18"/>
                <w:szCs w:val="18"/>
                <w:vertAlign w:val="superscript"/>
              </w:rPr>
              <w:footnoteReference w:id="1"/>
            </w:r>
            <w:r>
              <w:rPr>
                <w:b/>
                <w:i w:val="0"/>
                <w:color w:val="000000"/>
                <w:sz w:val="18"/>
                <w:szCs w:val="18"/>
              </w:rPr>
              <w:t>.</w:t>
            </w:r>
          </w:p>
          <w:p w:rsidR="00584DA1" w:rsidRDefault="00584DA1">
            <w:pPr>
              <w:ind w:left="2" w:hanging="2"/>
              <w:jc w:val="both"/>
              <w:rPr>
                <w:b/>
                <w:i w:val="0"/>
                <w:color w:val="000000"/>
                <w:sz w:val="18"/>
                <w:szCs w:val="18"/>
              </w:rPr>
            </w:pPr>
          </w:p>
          <w:p w:rsidR="00584DA1" w:rsidRDefault="00584DA1">
            <w:pPr>
              <w:ind w:left="2" w:hanging="2"/>
              <w:jc w:val="both"/>
              <w:rPr>
                <w:i w:val="0"/>
                <w:color w:val="000000"/>
                <w:sz w:val="18"/>
                <w:szCs w:val="18"/>
              </w:rPr>
            </w:pPr>
          </w:p>
        </w:tc>
      </w:tr>
      <w:tr w:rsidR="00584DA1">
        <w:tc>
          <w:tcPr>
            <w:tcW w:w="9045" w:type="dxa"/>
            <w:gridSpan w:val="3"/>
            <w:tcBorders>
              <w:left w:val="single" w:sz="18" w:space="0" w:color="1F497D"/>
              <w:bottom w:val="single" w:sz="18" w:space="0" w:color="1F497D"/>
              <w:right w:val="single" w:sz="18" w:space="0" w:color="1F497D"/>
            </w:tcBorders>
            <w:shd w:val="clear" w:color="auto" w:fill="auto"/>
          </w:tcPr>
          <w:p w:rsidR="00584DA1" w:rsidRDefault="002A35DC">
            <w:pPr>
              <w:ind w:left="2" w:hanging="2"/>
              <w:jc w:val="both"/>
              <w:rPr>
                <w:i w:val="0"/>
                <w:color w:val="000000"/>
                <w:sz w:val="18"/>
                <w:szCs w:val="18"/>
              </w:rPr>
            </w:pPr>
            <w:r>
              <w:rPr>
                <w:i w:val="0"/>
                <w:color w:val="000000"/>
                <w:sz w:val="18"/>
                <w:szCs w:val="18"/>
              </w:rPr>
              <w:t>Firmado:</w:t>
            </w:r>
          </w:p>
          <w:p w:rsidR="00584DA1" w:rsidRDefault="002A35DC">
            <w:pPr>
              <w:ind w:left="2" w:hanging="2"/>
              <w:jc w:val="both"/>
              <w:rPr>
                <w:i w:val="0"/>
                <w:color w:val="000000"/>
                <w:sz w:val="18"/>
                <w:szCs w:val="18"/>
              </w:rPr>
            </w:pPr>
            <w:r>
              <w:rPr>
                <w:i w:val="0"/>
                <w:color w:val="000000"/>
                <w:sz w:val="18"/>
                <w:szCs w:val="18"/>
              </w:rPr>
              <w:t>(licitador o persona que lo represente)</w:t>
            </w:r>
          </w:p>
          <w:p w:rsidR="00584DA1" w:rsidRDefault="00584DA1">
            <w:pPr>
              <w:ind w:left="2" w:hanging="2"/>
              <w:jc w:val="both"/>
              <w:rPr>
                <w:i w:val="0"/>
                <w:color w:val="000000"/>
                <w:sz w:val="18"/>
                <w:szCs w:val="18"/>
              </w:rPr>
            </w:pPr>
          </w:p>
          <w:p w:rsidR="00584DA1" w:rsidRDefault="002A35DC">
            <w:pPr>
              <w:ind w:left="2" w:hanging="2"/>
              <w:jc w:val="both"/>
              <w:rPr>
                <w:i w:val="0"/>
                <w:color w:val="000000"/>
                <w:sz w:val="18"/>
                <w:szCs w:val="18"/>
              </w:rPr>
            </w:pPr>
            <w:proofErr w:type="spellStart"/>
            <w:r>
              <w:rPr>
                <w:i w:val="0"/>
                <w:color w:val="000000"/>
                <w:sz w:val="18"/>
                <w:szCs w:val="18"/>
              </w:rPr>
              <w:t>En___________a__de__________de</w:t>
            </w:r>
            <w:proofErr w:type="spellEnd"/>
            <w:r>
              <w:rPr>
                <w:i w:val="0"/>
                <w:color w:val="000000"/>
                <w:sz w:val="18"/>
                <w:szCs w:val="18"/>
              </w:rPr>
              <w:t>_____</w:t>
            </w:r>
          </w:p>
        </w:tc>
      </w:tr>
    </w:tbl>
    <w:p w:rsidR="00584DA1" w:rsidRDefault="002A35DC">
      <w:pPr>
        <w:ind w:left="2" w:hanging="2"/>
        <w:jc w:val="both"/>
        <w:rPr>
          <w:i w:val="0"/>
          <w:color w:val="000000"/>
          <w:sz w:val="18"/>
          <w:szCs w:val="18"/>
        </w:rPr>
      </w:pPr>
      <w:r>
        <w:rPr>
          <w:b/>
          <w:i w:val="0"/>
          <w:color w:val="000000"/>
          <w:sz w:val="18"/>
          <w:szCs w:val="18"/>
        </w:rPr>
        <w:t>ASEPEYO. Presidencia de la Mesa de Contratación.</w:t>
      </w:r>
    </w:p>
    <w:p w:rsidR="00584DA1" w:rsidRDefault="002A35DC">
      <w:pPr>
        <w:ind w:left="2" w:hanging="2"/>
        <w:rPr>
          <w:sz w:val="18"/>
          <w:szCs w:val="18"/>
        </w:rPr>
      </w:pPr>
      <w:r>
        <w:rPr>
          <w:sz w:val="18"/>
          <w:szCs w:val="18"/>
        </w:rPr>
        <w:t xml:space="preserve">Dirección de Contratación. Vía Augusta, </w:t>
      </w:r>
      <w:r w:rsidR="00D66F3B">
        <w:rPr>
          <w:sz w:val="18"/>
          <w:szCs w:val="18"/>
        </w:rPr>
        <w:t>4</w:t>
      </w:r>
      <w:r>
        <w:rPr>
          <w:sz w:val="18"/>
          <w:szCs w:val="18"/>
        </w:rPr>
        <w:t xml:space="preserve">8 – </w:t>
      </w:r>
      <w:r w:rsidR="00D66F3B">
        <w:rPr>
          <w:sz w:val="18"/>
          <w:szCs w:val="18"/>
        </w:rPr>
        <w:t>3</w:t>
      </w:r>
      <w:r>
        <w:rPr>
          <w:sz w:val="18"/>
          <w:szCs w:val="18"/>
        </w:rPr>
        <w:t>ª planta. 08006 BARCELONA</w:t>
      </w:r>
    </w:p>
    <w:p w:rsidR="00584DA1" w:rsidRDefault="00584DA1">
      <w:pPr>
        <w:ind w:left="2" w:hanging="2"/>
        <w:rPr>
          <w:sz w:val="18"/>
          <w:szCs w:val="18"/>
        </w:rPr>
      </w:pPr>
    </w:p>
    <w:tbl>
      <w:tblPr>
        <w:tblStyle w:val="a2"/>
        <w:tblW w:w="9615" w:type="dxa"/>
        <w:tblInd w:w="-216" w:type="dxa"/>
        <w:tblLayout w:type="fixed"/>
        <w:tblLook w:val="0000" w:firstRow="0" w:lastRow="0" w:firstColumn="0" w:lastColumn="0" w:noHBand="0" w:noVBand="0"/>
      </w:tblPr>
      <w:tblGrid>
        <w:gridCol w:w="9615"/>
      </w:tblGrid>
      <w:tr w:rsidR="00584DA1" w:rsidTr="00C94026">
        <w:trPr>
          <w:trHeight w:val="244"/>
        </w:trPr>
        <w:tc>
          <w:tcPr>
            <w:tcW w:w="9615" w:type="dxa"/>
            <w:shd w:val="clear" w:color="auto" w:fill="00B0F0"/>
          </w:tcPr>
          <w:p w:rsidR="00584DA1" w:rsidRDefault="00584DA1">
            <w:pPr>
              <w:pBdr>
                <w:top w:val="nil"/>
                <w:left w:val="nil"/>
                <w:bottom w:val="nil"/>
                <w:right w:val="nil"/>
                <w:between w:val="nil"/>
              </w:pBdr>
              <w:jc w:val="both"/>
              <w:rPr>
                <w:rFonts w:eastAsia="Arial"/>
                <w:b/>
                <w:i w:val="0"/>
                <w:color w:val="FFFFFF"/>
                <w:sz w:val="24"/>
                <w:szCs w:val="24"/>
              </w:rPr>
            </w:pPr>
          </w:p>
          <w:p w:rsidR="00584DA1" w:rsidRDefault="00584DA1">
            <w:pPr>
              <w:pBdr>
                <w:top w:val="nil"/>
                <w:left w:val="nil"/>
                <w:bottom w:val="nil"/>
                <w:right w:val="nil"/>
                <w:between w:val="nil"/>
              </w:pBdr>
              <w:jc w:val="both"/>
              <w:rPr>
                <w:rFonts w:eastAsia="Arial"/>
                <w:b/>
                <w:i w:val="0"/>
                <w:color w:val="FFFFFF"/>
                <w:sz w:val="24"/>
                <w:szCs w:val="24"/>
              </w:rPr>
            </w:pPr>
          </w:p>
          <w:p w:rsidR="00584DA1" w:rsidRDefault="00584DA1">
            <w:pPr>
              <w:pBdr>
                <w:top w:val="nil"/>
                <w:left w:val="nil"/>
                <w:bottom w:val="nil"/>
                <w:right w:val="nil"/>
                <w:between w:val="nil"/>
              </w:pBdr>
              <w:jc w:val="both"/>
              <w:rPr>
                <w:rFonts w:eastAsia="Arial"/>
                <w:b/>
                <w:i w:val="0"/>
                <w:color w:val="FFFFFF"/>
                <w:sz w:val="24"/>
                <w:szCs w:val="24"/>
              </w:rPr>
            </w:pPr>
          </w:p>
          <w:p w:rsidR="00584DA1" w:rsidRDefault="002A35DC">
            <w:pPr>
              <w:pBdr>
                <w:top w:val="nil"/>
                <w:left w:val="nil"/>
                <w:bottom w:val="nil"/>
                <w:right w:val="nil"/>
                <w:between w:val="nil"/>
              </w:pBdr>
              <w:jc w:val="both"/>
              <w:rPr>
                <w:rFonts w:eastAsia="Arial"/>
                <w:b/>
                <w:i w:val="0"/>
                <w:color w:val="FFFFFF"/>
                <w:sz w:val="24"/>
                <w:szCs w:val="24"/>
              </w:rPr>
            </w:pPr>
            <w:r>
              <w:rPr>
                <w:rFonts w:eastAsia="Arial"/>
                <w:b/>
                <w:i w:val="0"/>
                <w:color w:val="FFFFFF"/>
                <w:sz w:val="24"/>
                <w:szCs w:val="24"/>
              </w:rPr>
              <w:t xml:space="preserve">Anexo III.- Admisión de variantes.   </w:t>
            </w:r>
          </w:p>
        </w:tc>
      </w:tr>
    </w:tbl>
    <w:p w:rsidR="00584DA1" w:rsidRDefault="00584DA1">
      <w:pPr>
        <w:pBdr>
          <w:top w:val="nil"/>
          <w:left w:val="nil"/>
          <w:bottom w:val="nil"/>
          <w:right w:val="nil"/>
          <w:between w:val="nil"/>
        </w:pBdr>
        <w:jc w:val="both"/>
        <w:rPr>
          <w:rFonts w:eastAsia="Arial"/>
          <w:b/>
          <w:i w:val="0"/>
          <w:color w:val="000080"/>
          <w:sz w:val="22"/>
          <w:szCs w:val="22"/>
        </w:rPr>
      </w:pPr>
    </w:p>
    <w:p w:rsidR="00584DA1" w:rsidRDefault="00584DA1">
      <w:pPr>
        <w:pBdr>
          <w:top w:val="nil"/>
          <w:left w:val="nil"/>
          <w:bottom w:val="nil"/>
          <w:right w:val="nil"/>
          <w:between w:val="nil"/>
        </w:pBdr>
        <w:jc w:val="both"/>
        <w:rPr>
          <w:rFonts w:eastAsia="Arial"/>
          <w:b/>
          <w:i w:val="0"/>
          <w:color w:val="000080"/>
        </w:rPr>
      </w:pPr>
    </w:p>
    <w:p w:rsidR="00584DA1" w:rsidRDefault="002A35DC">
      <w:pPr>
        <w:pBdr>
          <w:top w:val="nil"/>
          <w:left w:val="nil"/>
          <w:bottom w:val="nil"/>
          <w:right w:val="nil"/>
          <w:between w:val="nil"/>
        </w:pBdr>
        <w:jc w:val="both"/>
        <w:rPr>
          <w:rFonts w:eastAsia="Arial"/>
          <w:i w:val="0"/>
          <w:color w:val="000000"/>
          <w:sz w:val="22"/>
          <w:szCs w:val="22"/>
        </w:rPr>
      </w:pPr>
      <w:r>
        <w:rPr>
          <w:rFonts w:eastAsia="Arial"/>
          <w:i w:val="0"/>
          <w:color w:val="000000"/>
          <w:sz w:val="22"/>
          <w:szCs w:val="22"/>
        </w:rPr>
        <w:t xml:space="preserve">No se aceptan variantes. </w:t>
      </w:r>
    </w:p>
    <w:p w:rsidR="00584DA1" w:rsidRDefault="00584DA1">
      <w:pPr>
        <w:pBdr>
          <w:top w:val="nil"/>
          <w:left w:val="nil"/>
          <w:bottom w:val="nil"/>
          <w:right w:val="nil"/>
          <w:between w:val="nil"/>
        </w:pBdr>
        <w:tabs>
          <w:tab w:val="center" w:pos="4252"/>
          <w:tab w:val="right" w:pos="8504"/>
        </w:tabs>
        <w:rPr>
          <w:rFonts w:eastAsia="Arial"/>
          <w:b/>
          <w:i w:val="0"/>
          <w:color w:val="000000"/>
          <w:sz w:val="22"/>
          <w:szCs w:val="22"/>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p w:rsidR="00584DA1" w:rsidRDefault="00584DA1">
      <w:pPr>
        <w:pBdr>
          <w:top w:val="nil"/>
          <w:left w:val="nil"/>
          <w:bottom w:val="nil"/>
          <w:right w:val="nil"/>
          <w:between w:val="nil"/>
        </w:pBdr>
        <w:tabs>
          <w:tab w:val="center" w:pos="4252"/>
          <w:tab w:val="right" w:pos="8504"/>
        </w:tabs>
        <w:rPr>
          <w:rFonts w:eastAsia="Arial"/>
          <w:b/>
          <w:i w:val="0"/>
          <w:color w:val="000000"/>
        </w:rPr>
      </w:pPr>
    </w:p>
    <w:tbl>
      <w:tblPr>
        <w:tblStyle w:val="a3"/>
        <w:tblW w:w="9816" w:type="dxa"/>
        <w:tblInd w:w="-216" w:type="dxa"/>
        <w:tblLayout w:type="fixed"/>
        <w:tblLook w:val="0000" w:firstRow="0" w:lastRow="0" w:firstColumn="0" w:lastColumn="0" w:noHBand="0" w:noVBand="0"/>
      </w:tblPr>
      <w:tblGrid>
        <w:gridCol w:w="9816"/>
      </w:tblGrid>
      <w:tr w:rsidR="00584DA1">
        <w:trPr>
          <w:trHeight w:val="765"/>
        </w:trPr>
        <w:tc>
          <w:tcPr>
            <w:tcW w:w="9816" w:type="dxa"/>
            <w:shd w:val="clear" w:color="auto" w:fill="00B0F0"/>
          </w:tcPr>
          <w:p w:rsidR="00584DA1" w:rsidRDefault="002A35DC">
            <w:pPr>
              <w:pBdr>
                <w:top w:val="nil"/>
                <w:left w:val="nil"/>
                <w:bottom w:val="nil"/>
                <w:right w:val="nil"/>
                <w:between w:val="nil"/>
              </w:pBdr>
              <w:jc w:val="both"/>
              <w:rPr>
                <w:rFonts w:eastAsia="Arial"/>
                <w:b/>
                <w:i w:val="0"/>
                <w:color w:val="FFFFFF"/>
                <w:sz w:val="22"/>
                <w:szCs w:val="22"/>
              </w:rPr>
            </w:pPr>
            <w:r>
              <w:rPr>
                <w:rFonts w:eastAsia="Arial"/>
                <w:b/>
                <w:i w:val="0"/>
                <w:color w:val="FFFFFF"/>
                <w:sz w:val="22"/>
                <w:szCs w:val="22"/>
              </w:rPr>
              <w:t>Anexo IV.</w:t>
            </w:r>
          </w:p>
          <w:p w:rsidR="00584DA1" w:rsidRDefault="002A35DC">
            <w:pPr>
              <w:pBdr>
                <w:top w:val="nil"/>
                <w:left w:val="nil"/>
                <w:bottom w:val="nil"/>
                <w:right w:val="nil"/>
                <w:between w:val="nil"/>
              </w:pBdr>
              <w:jc w:val="both"/>
              <w:rPr>
                <w:rFonts w:eastAsia="Arial"/>
                <w:b/>
                <w:i w:val="0"/>
                <w:color w:val="FFFFFF"/>
                <w:sz w:val="22"/>
                <w:szCs w:val="22"/>
              </w:rPr>
            </w:pPr>
            <w:r>
              <w:rPr>
                <w:rFonts w:eastAsia="Arial"/>
                <w:b/>
                <w:i w:val="0"/>
                <w:color w:val="FFFFFF"/>
                <w:sz w:val="22"/>
                <w:szCs w:val="22"/>
              </w:rPr>
              <w:t xml:space="preserve">Documentación a presentar por las empresas licitadoras </w:t>
            </w:r>
          </w:p>
        </w:tc>
      </w:tr>
    </w:tbl>
    <w:p w:rsidR="00584DA1" w:rsidRDefault="002A35DC">
      <w:pPr>
        <w:pBdr>
          <w:top w:val="nil"/>
          <w:left w:val="nil"/>
          <w:bottom w:val="nil"/>
          <w:right w:val="nil"/>
          <w:between w:val="nil"/>
        </w:pBdr>
        <w:tabs>
          <w:tab w:val="center" w:pos="4252"/>
          <w:tab w:val="right" w:pos="8504"/>
        </w:tabs>
        <w:rPr>
          <w:rFonts w:eastAsia="Arial"/>
          <w:b/>
          <w:i w:val="0"/>
          <w:color w:val="000000"/>
        </w:rPr>
        <w:sectPr w:rsidR="00584DA1">
          <w:pgSz w:w="11906" w:h="16838"/>
          <w:pgMar w:top="993" w:right="1701" w:bottom="1276" w:left="1701" w:header="0" w:footer="0" w:gutter="0"/>
          <w:pgNumType w:start="1"/>
          <w:cols w:space="720"/>
        </w:sectPr>
      </w:pPr>
      <w:r>
        <w:rPr>
          <w:rFonts w:eastAsia="Arial"/>
          <w:b/>
          <w:i w:val="0"/>
          <w:color w:val="000000"/>
        </w:rPr>
        <w:t xml:space="preserve">  </w:t>
      </w:r>
    </w:p>
    <w:p w:rsidR="00584DA1" w:rsidRDefault="00584DA1">
      <w:pPr>
        <w:pBdr>
          <w:top w:val="nil"/>
          <w:left w:val="nil"/>
          <w:bottom w:val="nil"/>
          <w:right w:val="nil"/>
          <w:between w:val="nil"/>
        </w:pBdr>
        <w:tabs>
          <w:tab w:val="left" w:pos="567"/>
        </w:tabs>
        <w:jc w:val="both"/>
        <w:rPr>
          <w:rFonts w:eastAsia="Arial"/>
          <w:b/>
          <w:color w:val="000080"/>
          <w:sz w:val="22"/>
          <w:szCs w:val="22"/>
        </w:rPr>
      </w:pPr>
    </w:p>
    <w:tbl>
      <w:tblPr>
        <w:tblStyle w:val="a4"/>
        <w:tblW w:w="9992" w:type="dxa"/>
        <w:tblInd w:w="-216" w:type="dxa"/>
        <w:tblLayout w:type="fixed"/>
        <w:tblLook w:val="0000" w:firstRow="0" w:lastRow="0" w:firstColumn="0" w:lastColumn="0" w:noHBand="0" w:noVBand="0"/>
      </w:tblPr>
      <w:tblGrid>
        <w:gridCol w:w="9992"/>
      </w:tblGrid>
      <w:tr w:rsidR="00584DA1">
        <w:trPr>
          <w:trHeight w:val="765"/>
        </w:trPr>
        <w:tc>
          <w:tcPr>
            <w:tcW w:w="9992" w:type="dxa"/>
            <w:shd w:val="clear" w:color="auto" w:fill="00B0F0"/>
          </w:tcPr>
          <w:p w:rsidR="00584DA1" w:rsidRDefault="002A35DC">
            <w:pPr>
              <w:pBdr>
                <w:top w:val="nil"/>
                <w:left w:val="nil"/>
                <w:bottom w:val="nil"/>
                <w:right w:val="nil"/>
                <w:between w:val="nil"/>
              </w:pBdr>
              <w:jc w:val="both"/>
              <w:rPr>
                <w:rFonts w:eastAsia="Arial"/>
                <w:b/>
                <w:i w:val="0"/>
                <w:color w:val="FFFFFF"/>
                <w:sz w:val="22"/>
                <w:szCs w:val="22"/>
              </w:rPr>
            </w:pPr>
            <w:bookmarkStart w:id="4" w:name="bookmark=id.gjdgxs" w:colFirst="0" w:colLast="0"/>
            <w:bookmarkEnd w:id="4"/>
            <w:r>
              <w:rPr>
                <w:rFonts w:eastAsia="Arial"/>
                <w:b/>
                <w:i w:val="0"/>
                <w:color w:val="FFFFFF"/>
                <w:sz w:val="22"/>
                <w:szCs w:val="22"/>
              </w:rPr>
              <w:t>Anexo IV.1.</w:t>
            </w:r>
          </w:p>
          <w:p w:rsidR="00584DA1" w:rsidRDefault="002A35DC">
            <w:pPr>
              <w:pBdr>
                <w:top w:val="nil"/>
                <w:left w:val="nil"/>
                <w:bottom w:val="nil"/>
                <w:right w:val="nil"/>
                <w:between w:val="nil"/>
              </w:pBdr>
              <w:jc w:val="both"/>
              <w:rPr>
                <w:rFonts w:eastAsia="Arial"/>
                <w:b/>
                <w:i w:val="0"/>
                <w:color w:val="FFFFFF"/>
                <w:sz w:val="22"/>
                <w:szCs w:val="22"/>
              </w:rPr>
            </w:pPr>
            <w:r>
              <w:rPr>
                <w:rFonts w:eastAsia="Arial"/>
                <w:b/>
                <w:i w:val="0"/>
                <w:color w:val="FFFFFF"/>
                <w:sz w:val="22"/>
                <w:szCs w:val="22"/>
              </w:rPr>
              <w:t xml:space="preserve">Documentación acreditativa de capacidad jurídica </w:t>
            </w:r>
          </w:p>
        </w:tc>
      </w:tr>
    </w:tbl>
    <w:p w:rsidR="00584DA1" w:rsidRDefault="00584DA1">
      <w:pPr>
        <w:pBdr>
          <w:top w:val="nil"/>
          <w:left w:val="nil"/>
          <w:bottom w:val="nil"/>
          <w:right w:val="nil"/>
          <w:between w:val="nil"/>
        </w:pBdr>
        <w:tabs>
          <w:tab w:val="left" w:pos="567"/>
        </w:tabs>
        <w:ind w:right="-569"/>
        <w:jc w:val="both"/>
        <w:rPr>
          <w:rFonts w:eastAsia="Arial"/>
          <w:b/>
          <w:i w:val="0"/>
          <w:color w:val="0070C0"/>
          <w:sz w:val="22"/>
          <w:szCs w:val="22"/>
        </w:rPr>
      </w:pPr>
    </w:p>
    <w:p w:rsidR="00584DA1" w:rsidRDefault="002A35DC">
      <w:pPr>
        <w:numPr>
          <w:ilvl w:val="0"/>
          <w:numId w:val="3"/>
        </w:numPr>
        <w:pBdr>
          <w:top w:val="nil"/>
          <w:left w:val="nil"/>
          <w:bottom w:val="nil"/>
          <w:right w:val="nil"/>
          <w:between w:val="nil"/>
        </w:pBdr>
        <w:tabs>
          <w:tab w:val="left" w:pos="567"/>
        </w:tabs>
        <w:ind w:right="-569"/>
        <w:jc w:val="both"/>
        <w:rPr>
          <w:rFonts w:eastAsia="Arial"/>
          <w:b/>
          <w:i w:val="0"/>
          <w:color w:val="0070C0"/>
          <w:sz w:val="22"/>
          <w:szCs w:val="22"/>
        </w:rPr>
      </w:pPr>
      <w:r>
        <w:rPr>
          <w:rFonts w:eastAsia="Arial"/>
          <w:b/>
          <w:i w:val="0"/>
          <w:color w:val="0070C0"/>
          <w:sz w:val="22"/>
          <w:szCs w:val="22"/>
        </w:rPr>
        <w:t>Documentación acreditativa de la personalidad y capacidad jurídica</w:t>
      </w:r>
    </w:p>
    <w:p w:rsidR="00584DA1" w:rsidRDefault="00584DA1">
      <w:pPr>
        <w:pBdr>
          <w:top w:val="nil"/>
          <w:left w:val="nil"/>
          <w:bottom w:val="nil"/>
          <w:right w:val="nil"/>
          <w:between w:val="nil"/>
        </w:pBdr>
        <w:tabs>
          <w:tab w:val="left" w:pos="567"/>
        </w:tabs>
        <w:ind w:right="-569"/>
        <w:jc w:val="both"/>
        <w:rPr>
          <w:rFonts w:eastAsia="Arial"/>
          <w:b/>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4"/>
          <w:szCs w:val="24"/>
        </w:rPr>
      </w:pPr>
      <w:r>
        <w:rPr>
          <w:rFonts w:eastAsia="Arial"/>
          <w:b/>
          <w:i w:val="0"/>
          <w:color w:val="000000"/>
          <w:sz w:val="22"/>
          <w:szCs w:val="22"/>
        </w:rPr>
        <w:t>Si el/a licitador/a fuere persona física, aquel que acredite su personalidad:</w:t>
      </w:r>
      <w:r>
        <w:rPr>
          <w:rFonts w:eastAsia="Arial"/>
          <w:i w:val="0"/>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4"/>
          <w:szCs w:val="24"/>
        </w:rPr>
      </w:pPr>
      <w:r>
        <w:rPr>
          <w:rFonts w:eastAsia="Arial"/>
          <w:b/>
          <w:i w:val="0"/>
          <w:color w:val="000000"/>
          <w:sz w:val="22"/>
          <w:szCs w:val="22"/>
        </w:rPr>
        <w:t>Si el/a licitador/a fuere persona jurídica:</w:t>
      </w:r>
      <w:r>
        <w:rPr>
          <w:rFonts w:eastAsia="Arial"/>
          <w:i w:val="0"/>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4"/>
          <w:szCs w:val="24"/>
        </w:rPr>
      </w:pPr>
      <w:r>
        <w:rPr>
          <w:rFonts w:eastAsia="Arial"/>
          <w:b/>
          <w:i w:val="0"/>
          <w:color w:val="000000"/>
          <w:sz w:val="22"/>
          <w:szCs w:val="22"/>
        </w:rPr>
        <w:t>Cuando se trate de empresarios no españoles de Estados miembros de la Comunidad Europea:</w:t>
      </w:r>
      <w:r>
        <w:rPr>
          <w:rFonts w:eastAsia="Arial"/>
          <w:i w:val="0"/>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4"/>
          <w:szCs w:val="24"/>
        </w:rPr>
      </w:pPr>
      <w:r>
        <w:rPr>
          <w:rFonts w:eastAsia="Arial"/>
          <w:b/>
          <w:i w:val="0"/>
          <w:color w:val="000000"/>
          <w:sz w:val="22"/>
          <w:szCs w:val="22"/>
        </w:rPr>
        <w:t>Personas físicas o jurídicas de Estados no pertenecientes a la Unión Europea:</w:t>
      </w:r>
      <w:r>
        <w:rPr>
          <w:rFonts w:eastAsia="Arial"/>
          <w:i w:val="0"/>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4"/>
          <w:szCs w:val="24"/>
        </w:rPr>
      </w:pPr>
      <w:r>
        <w:rPr>
          <w:rFonts w:eastAsia="Arial"/>
          <w:b/>
          <w:i w:val="0"/>
          <w:color w:val="000000"/>
          <w:sz w:val="22"/>
          <w:szCs w:val="22"/>
        </w:rPr>
        <w:t>Si el firmante de la proposición actúa en nombre y representación del licitador</w:t>
      </w:r>
      <w:r>
        <w:rPr>
          <w:rFonts w:eastAsia="Arial"/>
          <w:i w:val="0"/>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4"/>
          <w:szCs w:val="24"/>
        </w:rPr>
      </w:pPr>
      <w:r>
        <w:rPr>
          <w:rFonts w:eastAsia="Arial"/>
          <w:b/>
          <w:i w:val="0"/>
          <w:color w:val="000000"/>
          <w:sz w:val="22"/>
          <w:szCs w:val="22"/>
        </w:rPr>
        <w:t>Cuando se trate de uniones de empresarios que se constituyan temporalmente al efecto</w:t>
      </w:r>
      <w:r>
        <w:rPr>
          <w:rFonts w:eastAsia="Arial"/>
          <w:i w:val="0"/>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w:t>
      </w:r>
      <w:r>
        <w:rPr>
          <w:rFonts w:eastAsia="Arial"/>
          <w:i w:val="0"/>
          <w:color w:val="000000"/>
          <w:sz w:val="22"/>
          <w:szCs w:val="22"/>
        </w:rPr>
        <w:lastRenderedPageBreak/>
        <w:t>mismo, sin perjuicio de la existencia de poderes mancomunados que puedan otorgar para cobros y pagos de cuantía significativa.</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2"/>
          <w:szCs w:val="22"/>
        </w:rPr>
      </w:pPr>
      <w:r>
        <w:rPr>
          <w:rFonts w:eastAsia="Arial"/>
          <w:i w:val="0"/>
          <w:color w:val="000000"/>
          <w:sz w:val="22"/>
          <w:szCs w:val="22"/>
        </w:rPr>
        <w:t>La duración de las uniones temporales de empresarios será coincidente con la del contrato hasta su extinción.</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2"/>
          <w:szCs w:val="22"/>
        </w:rPr>
      </w:pPr>
      <w:r>
        <w:rPr>
          <w:rFonts w:eastAsia="Arial"/>
          <w:i w:val="0"/>
          <w:color w:val="00000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numPr>
          <w:ilvl w:val="0"/>
          <w:numId w:val="3"/>
        </w:numPr>
        <w:pBdr>
          <w:top w:val="nil"/>
          <w:left w:val="nil"/>
          <w:bottom w:val="nil"/>
          <w:right w:val="nil"/>
          <w:between w:val="nil"/>
        </w:pBdr>
        <w:tabs>
          <w:tab w:val="left" w:pos="567"/>
        </w:tabs>
        <w:ind w:right="-569"/>
        <w:jc w:val="both"/>
        <w:rPr>
          <w:rFonts w:eastAsia="Arial"/>
          <w:b/>
          <w:i w:val="0"/>
          <w:color w:val="0070C0"/>
          <w:sz w:val="22"/>
          <w:szCs w:val="22"/>
        </w:rPr>
      </w:pPr>
      <w:r>
        <w:rPr>
          <w:rFonts w:eastAsia="Arial"/>
          <w:b/>
          <w:i w:val="0"/>
          <w:color w:val="0070C0"/>
          <w:sz w:val="22"/>
          <w:szCs w:val="22"/>
        </w:rPr>
        <w:t>Declaración responsable sobre prohibición de contratar (anexo IV.2)</w:t>
      </w:r>
      <w:r>
        <w:rPr>
          <w:rFonts w:eastAsia="Arial"/>
          <w:b/>
          <w:i w:val="0"/>
          <w:color w:val="FF0000"/>
          <w:sz w:val="22"/>
          <w:szCs w:val="22"/>
        </w:rPr>
        <w:t xml:space="preserve"> </w:t>
      </w:r>
    </w:p>
    <w:p w:rsidR="00584DA1" w:rsidRDefault="00584DA1">
      <w:pPr>
        <w:pBdr>
          <w:top w:val="nil"/>
          <w:left w:val="nil"/>
          <w:bottom w:val="nil"/>
          <w:right w:val="nil"/>
          <w:between w:val="nil"/>
        </w:pBdr>
        <w:tabs>
          <w:tab w:val="left" w:pos="567"/>
        </w:tabs>
        <w:ind w:left="720" w:right="-569"/>
        <w:jc w:val="both"/>
        <w:rPr>
          <w:rFonts w:eastAsia="Arial"/>
          <w:b/>
          <w:i w:val="0"/>
          <w:color w:val="00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2"/>
          <w:szCs w:val="22"/>
        </w:rPr>
      </w:pPr>
      <w:r>
        <w:rPr>
          <w:rFonts w:eastAsia="Arial"/>
          <w:i w:val="0"/>
          <w:color w:val="00000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584DA1" w:rsidRDefault="00584DA1">
      <w:pPr>
        <w:pBdr>
          <w:top w:val="nil"/>
          <w:left w:val="nil"/>
          <w:bottom w:val="nil"/>
          <w:right w:val="nil"/>
          <w:between w:val="nil"/>
        </w:pBdr>
        <w:tabs>
          <w:tab w:val="left" w:pos="567"/>
        </w:tabs>
        <w:ind w:right="-569"/>
        <w:jc w:val="both"/>
        <w:rPr>
          <w:rFonts w:eastAsia="Arial"/>
          <w:i w:val="0"/>
          <w:color w:val="FF0000"/>
          <w:sz w:val="22"/>
          <w:szCs w:val="22"/>
        </w:rPr>
      </w:pPr>
    </w:p>
    <w:p w:rsidR="00584DA1" w:rsidRDefault="002A35DC">
      <w:pPr>
        <w:pBdr>
          <w:top w:val="nil"/>
          <w:left w:val="nil"/>
          <w:bottom w:val="nil"/>
          <w:right w:val="nil"/>
          <w:between w:val="nil"/>
        </w:pBdr>
        <w:tabs>
          <w:tab w:val="left" w:pos="567"/>
        </w:tabs>
        <w:ind w:right="-569"/>
        <w:jc w:val="both"/>
        <w:rPr>
          <w:rFonts w:eastAsia="Arial"/>
          <w:i w:val="0"/>
          <w:color w:val="000000"/>
          <w:sz w:val="22"/>
          <w:szCs w:val="22"/>
        </w:rPr>
      </w:pPr>
      <w:r>
        <w:rPr>
          <w:rFonts w:eastAsia="Arial"/>
          <w:i w:val="0"/>
          <w:color w:val="000000"/>
          <w:sz w:val="22"/>
          <w:szCs w:val="22"/>
        </w:rPr>
        <w:t>Cuando se trate de empresas de Estados miembros de la Comunidad Europea, y esta posibilidad esté prevista en la legislación del Estado respectivo, podrá también sustituirse por una declaración responsable.</w:t>
      </w:r>
    </w:p>
    <w:p w:rsidR="00584DA1" w:rsidRDefault="00584DA1">
      <w:pPr>
        <w:pBdr>
          <w:top w:val="nil"/>
          <w:left w:val="nil"/>
          <w:bottom w:val="nil"/>
          <w:right w:val="nil"/>
          <w:between w:val="nil"/>
        </w:pBdr>
        <w:tabs>
          <w:tab w:val="left" w:pos="567"/>
        </w:tabs>
        <w:ind w:right="-569"/>
        <w:jc w:val="both"/>
        <w:rPr>
          <w:rFonts w:eastAsia="Arial"/>
          <w:i w:val="0"/>
          <w:color w:val="000000"/>
          <w:sz w:val="22"/>
          <w:szCs w:val="22"/>
        </w:rPr>
      </w:pPr>
    </w:p>
    <w:p w:rsidR="00584DA1" w:rsidRDefault="002A35DC">
      <w:pPr>
        <w:numPr>
          <w:ilvl w:val="0"/>
          <w:numId w:val="3"/>
        </w:numPr>
        <w:pBdr>
          <w:top w:val="nil"/>
          <w:left w:val="nil"/>
          <w:bottom w:val="nil"/>
          <w:right w:val="nil"/>
          <w:between w:val="nil"/>
        </w:pBdr>
        <w:tabs>
          <w:tab w:val="left" w:pos="567"/>
        </w:tabs>
        <w:ind w:left="567" w:hanging="207"/>
        <w:jc w:val="both"/>
        <w:rPr>
          <w:rFonts w:eastAsia="Arial"/>
          <w:b/>
          <w:i w:val="0"/>
          <w:color w:val="000080"/>
          <w:sz w:val="22"/>
          <w:szCs w:val="22"/>
        </w:rPr>
      </w:pPr>
      <w:r>
        <w:rPr>
          <w:rFonts w:eastAsia="Arial"/>
          <w:b/>
          <w:i w:val="0"/>
          <w:color w:val="0070C0"/>
          <w:sz w:val="22"/>
          <w:szCs w:val="22"/>
        </w:rPr>
        <w:t xml:space="preserve"> Declaración responsable de haber tenido en cuenta en la presentación de la oferta</w:t>
      </w:r>
      <w:r>
        <w:rPr>
          <w:rFonts w:eastAsia="Arial"/>
          <w:b/>
          <w:i w:val="0"/>
          <w:color w:val="000080"/>
          <w:sz w:val="22"/>
          <w:szCs w:val="22"/>
        </w:rPr>
        <w:t xml:space="preserve"> </w:t>
      </w:r>
      <w:r>
        <w:rPr>
          <w:rFonts w:eastAsia="Arial"/>
          <w:b/>
          <w:i w:val="0"/>
          <w:color w:val="0070C0"/>
          <w:sz w:val="22"/>
          <w:szCs w:val="22"/>
        </w:rPr>
        <w:t>las obligaciones legales en materia laboral y medioambientales (anexo IV.2)</w:t>
      </w:r>
    </w:p>
    <w:p w:rsidR="00584DA1" w:rsidRDefault="00584DA1">
      <w:pPr>
        <w:pBdr>
          <w:top w:val="nil"/>
          <w:left w:val="nil"/>
          <w:bottom w:val="nil"/>
          <w:right w:val="nil"/>
          <w:between w:val="nil"/>
        </w:pBdr>
        <w:tabs>
          <w:tab w:val="left" w:pos="567"/>
        </w:tabs>
        <w:ind w:left="567"/>
        <w:jc w:val="both"/>
        <w:rPr>
          <w:rFonts w:eastAsia="Arial"/>
          <w:b/>
          <w:i w:val="0"/>
          <w:color w:val="000080"/>
          <w:sz w:val="22"/>
          <w:szCs w:val="22"/>
        </w:rPr>
      </w:pPr>
    </w:p>
    <w:p w:rsidR="00584DA1" w:rsidRDefault="00584DA1">
      <w:pPr>
        <w:pBdr>
          <w:top w:val="nil"/>
          <w:left w:val="nil"/>
          <w:bottom w:val="nil"/>
          <w:right w:val="nil"/>
          <w:between w:val="nil"/>
        </w:pBdr>
        <w:tabs>
          <w:tab w:val="left" w:pos="567"/>
        </w:tabs>
        <w:ind w:left="720"/>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2A35DC">
      <w:pPr>
        <w:pBdr>
          <w:top w:val="nil"/>
          <w:left w:val="nil"/>
          <w:bottom w:val="nil"/>
          <w:right w:val="nil"/>
          <w:between w:val="nil"/>
        </w:pBdr>
        <w:tabs>
          <w:tab w:val="left" w:pos="567"/>
        </w:tabs>
        <w:jc w:val="both"/>
        <w:rPr>
          <w:rFonts w:eastAsia="Arial"/>
          <w:b/>
          <w:i w:val="0"/>
          <w:color w:val="000080"/>
          <w:sz w:val="22"/>
          <w:szCs w:val="22"/>
        </w:rPr>
      </w:pPr>
      <w:r>
        <w:br w:type="page"/>
      </w:r>
    </w:p>
    <w:p w:rsidR="00584DA1" w:rsidRDefault="00584DA1">
      <w:pPr>
        <w:tabs>
          <w:tab w:val="left" w:pos="567"/>
        </w:tabs>
        <w:ind w:right="-283"/>
        <w:jc w:val="both"/>
        <w:rPr>
          <w:b/>
          <w:i w:val="0"/>
          <w:color w:val="000080"/>
          <w:sz w:val="22"/>
          <w:szCs w:val="22"/>
        </w:rPr>
      </w:pPr>
    </w:p>
    <w:tbl>
      <w:tblPr>
        <w:tblStyle w:val="a5"/>
        <w:tblW w:w="9741" w:type="dxa"/>
        <w:tblInd w:w="-216" w:type="dxa"/>
        <w:tblLayout w:type="fixed"/>
        <w:tblLook w:val="0000" w:firstRow="0" w:lastRow="0" w:firstColumn="0" w:lastColumn="0" w:noHBand="0" w:noVBand="0"/>
      </w:tblPr>
      <w:tblGrid>
        <w:gridCol w:w="9741"/>
      </w:tblGrid>
      <w:tr w:rsidR="00584DA1">
        <w:trPr>
          <w:trHeight w:val="828"/>
        </w:trPr>
        <w:tc>
          <w:tcPr>
            <w:tcW w:w="9741" w:type="dxa"/>
            <w:shd w:val="clear" w:color="auto" w:fill="00B0F0"/>
          </w:tcPr>
          <w:p w:rsidR="00584DA1" w:rsidRDefault="002A35DC">
            <w:pPr>
              <w:jc w:val="both"/>
              <w:rPr>
                <w:b/>
                <w:i w:val="0"/>
                <w:color w:val="FFFFFF"/>
                <w:sz w:val="24"/>
                <w:szCs w:val="24"/>
              </w:rPr>
            </w:pPr>
            <w:r>
              <w:rPr>
                <w:b/>
                <w:i w:val="0"/>
                <w:color w:val="FFFFFF"/>
                <w:sz w:val="24"/>
                <w:szCs w:val="24"/>
              </w:rPr>
              <w:t xml:space="preserve">Anexo IV.2 </w:t>
            </w:r>
          </w:p>
          <w:p w:rsidR="00584DA1" w:rsidRDefault="00584DA1">
            <w:pPr>
              <w:jc w:val="both"/>
              <w:rPr>
                <w:b/>
                <w:i w:val="0"/>
                <w:color w:val="FFFFFF"/>
                <w:sz w:val="24"/>
                <w:szCs w:val="24"/>
              </w:rPr>
            </w:pPr>
          </w:p>
          <w:p w:rsidR="00584DA1" w:rsidRDefault="002A35DC">
            <w:pPr>
              <w:jc w:val="both"/>
              <w:rPr>
                <w:b/>
                <w:i w:val="0"/>
                <w:color w:val="FFFFFF"/>
                <w:sz w:val="24"/>
                <w:szCs w:val="24"/>
              </w:rPr>
            </w:pPr>
            <w:r>
              <w:rPr>
                <w:b/>
                <w:i w:val="0"/>
                <w:color w:val="FFFFFF"/>
                <w:sz w:val="24"/>
                <w:szCs w:val="24"/>
              </w:rPr>
              <w:t xml:space="preserve">Declaración Responsable General de la empresa adjudicataria   </w:t>
            </w:r>
          </w:p>
        </w:tc>
      </w:tr>
    </w:tbl>
    <w:p w:rsidR="00584DA1" w:rsidRDefault="00584DA1">
      <w:pPr>
        <w:jc w:val="both"/>
        <w:rPr>
          <w:b/>
          <w:i w:val="0"/>
          <w:color w:val="000080"/>
          <w:sz w:val="22"/>
          <w:szCs w:val="22"/>
        </w:rPr>
      </w:pPr>
    </w:p>
    <w:tbl>
      <w:tblPr>
        <w:tblStyle w:val="a6"/>
        <w:tblW w:w="9743" w:type="dxa"/>
        <w:tblInd w:w="-216" w:type="dxa"/>
        <w:tblLayout w:type="fixed"/>
        <w:tblLook w:val="0000" w:firstRow="0" w:lastRow="0" w:firstColumn="0" w:lastColumn="0" w:noHBand="0" w:noVBand="0"/>
      </w:tblPr>
      <w:tblGrid>
        <w:gridCol w:w="9743"/>
      </w:tblGrid>
      <w:tr w:rsidR="00584DA1">
        <w:trPr>
          <w:trHeight w:val="420"/>
        </w:trPr>
        <w:tc>
          <w:tcPr>
            <w:tcW w:w="9743" w:type="dxa"/>
            <w:shd w:val="clear" w:color="auto" w:fill="00B0F0"/>
          </w:tcPr>
          <w:p w:rsidR="00584DA1" w:rsidRDefault="002A35DC">
            <w:pPr>
              <w:jc w:val="right"/>
              <w:rPr>
                <w:i w:val="0"/>
                <w:color w:val="000000"/>
                <w:sz w:val="24"/>
                <w:szCs w:val="24"/>
              </w:rPr>
            </w:pPr>
            <w:proofErr w:type="spellStart"/>
            <w:r>
              <w:rPr>
                <w:b/>
                <w:i w:val="0"/>
                <w:color w:val="FFFFFF"/>
                <w:sz w:val="22"/>
                <w:szCs w:val="22"/>
              </w:rPr>
              <w:t>Exp</w:t>
            </w:r>
            <w:proofErr w:type="spellEnd"/>
            <w:r>
              <w:rPr>
                <w:b/>
                <w:i w:val="0"/>
                <w:color w:val="FFFFFF"/>
                <w:sz w:val="22"/>
                <w:szCs w:val="22"/>
              </w:rPr>
              <w:t>. CP</w:t>
            </w:r>
            <w:r w:rsidR="00C94026">
              <w:rPr>
                <w:b/>
                <w:i w:val="0"/>
                <w:color w:val="FFFFFF"/>
                <w:sz w:val="22"/>
                <w:szCs w:val="22"/>
              </w:rPr>
              <w:t>000</w:t>
            </w:r>
            <w:r w:rsidR="006E73A4">
              <w:rPr>
                <w:b/>
                <w:i w:val="0"/>
                <w:color w:val="FFFFFF"/>
                <w:sz w:val="22"/>
                <w:szCs w:val="22"/>
              </w:rPr>
              <w:t>57</w:t>
            </w:r>
            <w:r>
              <w:rPr>
                <w:b/>
                <w:i w:val="0"/>
                <w:color w:val="FFFFFF"/>
                <w:sz w:val="22"/>
                <w:szCs w:val="22"/>
              </w:rPr>
              <w:t>/20</w:t>
            </w:r>
            <w:r w:rsidR="00C94026">
              <w:rPr>
                <w:b/>
                <w:i w:val="0"/>
                <w:color w:val="FFFFFF"/>
                <w:sz w:val="22"/>
                <w:szCs w:val="22"/>
              </w:rPr>
              <w:t>23</w:t>
            </w:r>
            <w:r>
              <w:rPr>
                <w:b/>
                <w:i w:val="0"/>
                <w:color w:val="FFFFFF"/>
                <w:sz w:val="22"/>
                <w:szCs w:val="22"/>
              </w:rPr>
              <w:t xml:space="preserve">                  </w:t>
            </w:r>
          </w:p>
          <w:p w:rsidR="00584DA1" w:rsidRDefault="00584DA1">
            <w:pPr>
              <w:jc w:val="both"/>
              <w:rPr>
                <w:b/>
                <w:i w:val="0"/>
                <w:color w:val="FFFFFF"/>
                <w:sz w:val="22"/>
                <w:szCs w:val="22"/>
              </w:rPr>
            </w:pPr>
          </w:p>
          <w:p w:rsidR="006E73A4" w:rsidRPr="006E73A4" w:rsidRDefault="006E73A4" w:rsidP="006E73A4">
            <w:pPr>
              <w:pBdr>
                <w:top w:val="nil"/>
                <w:left w:val="nil"/>
                <w:bottom w:val="nil"/>
                <w:right w:val="nil"/>
                <w:between w:val="nil"/>
              </w:pBdr>
              <w:jc w:val="both"/>
              <w:rPr>
                <w:b/>
                <w:i w:val="0"/>
                <w:color w:val="FFFFFF"/>
                <w:sz w:val="22"/>
                <w:szCs w:val="22"/>
              </w:rPr>
            </w:pPr>
            <w:r w:rsidRPr="006E73A4">
              <w:rPr>
                <w:b/>
                <w:i w:val="0"/>
                <w:color w:val="FFFFFF"/>
                <w:sz w:val="22"/>
                <w:szCs w:val="22"/>
              </w:rPr>
              <w:t xml:space="preserve">Contratación no sujeta a regulación armonizada del Suministro de material succionador de líquidos para suelo quirúrgico en Hospitales de </w:t>
            </w:r>
            <w:proofErr w:type="spellStart"/>
            <w:r w:rsidRPr="006E73A4">
              <w:rPr>
                <w:b/>
                <w:i w:val="0"/>
                <w:color w:val="FFFFFF"/>
                <w:sz w:val="22"/>
                <w:szCs w:val="22"/>
              </w:rPr>
              <w:t>Asepeyo</w:t>
            </w:r>
            <w:proofErr w:type="spellEnd"/>
            <w:r w:rsidRPr="006E73A4">
              <w:rPr>
                <w:b/>
                <w:i w:val="0"/>
                <w:color w:val="FFFFFF"/>
                <w:sz w:val="22"/>
                <w:szCs w:val="22"/>
              </w:rPr>
              <w:t xml:space="preserve"> (</w:t>
            </w:r>
            <w:proofErr w:type="spellStart"/>
            <w:r w:rsidRPr="006E73A4">
              <w:rPr>
                <w:b/>
                <w:i w:val="0"/>
                <w:color w:val="FFFFFF"/>
                <w:sz w:val="22"/>
                <w:szCs w:val="22"/>
              </w:rPr>
              <w:t>Coslada</w:t>
            </w:r>
            <w:proofErr w:type="spellEnd"/>
            <w:r w:rsidRPr="006E73A4">
              <w:rPr>
                <w:b/>
                <w:i w:val="0"/>
                <w:color w:val="FFFFFF"/>
                <w:sz w:val="22"/>
                <w:szCs w:val="22"/>
              </w:rPr>
              <w:t xml:space="preserve">, </w:t>
            </w:r>
            <w:proofErr w:type="spellStart"/>
            <w:r w:rsidRPr="006E73A4">
              <w:rPr>
                <w:b/>
                <w:i w:val="0"/>
                <w:color w:val="FFFFFF"/>
                <w:sz w:val="22"/>
                <w:szCs w:val="22"/>
              </w:rPr>
              <w:t>Sant</w:t>
            </w:r>
            <w:proofErr w:type="spellEnd"/>
            <w:r w:rsidRPr="006E73A4">
              <w:rPr>
                <w:b/>
                <w:i w:val="0"/>
                <w:color w:val="FFFFFF"/>
                <w:sz w:val="22"/>
                <w:szCs w:val="22"/>
              </w:rPr>
              <w:t xml:space="preserve"> </w:t>
            </w:r>
            <w:proofErr w:type="spellStart"/>
            <w:r w:rsidRPr="006E73A4">
              <w:rPr>
                <w:b/>
                <w:i w:val="0"/>
                <w:color w:val="FFFFFF"/>
                <w:sz w:val="22"/>
                <w:szCs w:val="22"/>
              </w:rPr>
              <w:t>Cugat</w:t>
            </w:r>
            <w:proofErr w:type="spellEnd"/>
            <w:r w:rsidRPr="006E73A4">
              <w:rPr>
                <w:b/>
                <w:i w:val="0"/>
                <w:color w:val="FFFFFF"/>
                <w:sz w:val="22"/>
                <w:szCs w:val="22"/>
              </w:rPr>
              <w:t xml:space="preserve"> y La Cartuja), Mutua Colaboradora con la Seguridad Social nº 151.</w:t>
            </w:r>
          </w:p>
          <w:p w:rsidR="00584DA1" w:rsidRDefault="00584DA1">
            <w:pPr>
              <w:jc w:val="both"/>
              <w:rPr>
                <w:b/>
                <w:i w:val="0"/>
                <w:color w:val="FFFFFF"/>
                <w:sz w:val="24"/>
                <w:szCs w:val="24"/>
              </w:rPr>
            </w:pPr>
          </w:p>
        </w:tc>
      </w:tr>
    </w:tbl>
    <w:p w:rsidR="00584DA1" w:rsidRDefault="00584DA1">
      <w:pPr>
        <w:ind w:left="708" w:hanging="708"/>
        <w:jc w:val="both"/>
        <w:rPr>
          <w:b/>
          <w:i w:val="0"/>
          <w:color w:val="000000"/>
        </w:rPr>
      </w:pPr>
    </w:p>
    <w:p w:rsidR="00584DA1" w:rsidRDefault="002A35DC">
      <w:pPr>
        <w:ind w:left="708" w:hanging="708"/>
        <w:jc w:val="both"/>
        <w:rPr>
          <w:b/>
          <w:color w:val="000000"/>
          <w:sz w:val="16"/>
          <w:szCs w:val="16"/>
        </w:rPr>
      </w:pPr>
      <w:r>
        <w:rPr>
          <w:b/>
          <w:color w:val="000000"/>
          <w:sz w:val="16"/>
          <w:szCs w:val="16"/>
        </w:rPr>
        <w:t>(Es obligatorio consignar todos los datos relativos al apoderamiento del representante de la empresa)</w:t>
      </w:r>
    </w:p>
    <w:p w:rsidR="00584DA1" w:rsidRDefault="00584DA1">
      <w:pPr>
        <w:ind w:left="708" w:hanging="708"/>
        <w:jc w:val="both"/>
        <w:rPr>
          <w:b/>
          <w:i w:val="0"/>
          <w:color w:val="000000"/>
          <w:sz w:val="16"/>
          <w:szCs w:val="16"/>
        </w:rPr>
      </w:pPr>
      <w:bookmarkStart w:id="5" w:name="_heading=h.gjdgxs" w:colFirst="0" w:colLast="0"/>
      <w:bookmarkEnd w:id="5"/>
    </w:p>
    <w:p w:rsidR="00584DA1" w:rsidRDefault="002A35DC">
      <w:pPr>
        <w:jc w:val="both"/>
        <w:rPr>
          <w:color w:val="000000"/>
          <w:sz w:val="22"/>
          <w:szCs w:val="22"/>
        </w:rPr>
      </w:pPr>
      <w:r>
        <w:rPr>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color w:val="000000"/>
          <w:sz w:val="22"/>
          <w:szCs w:val="22"/>
        </w:rPr>
        <w:t>de</w:t>
      </w:r>
      <w:proofErr w:type="spellEnd"/>
      <w:r>
        <w:rPr>
          <w:color w:val="000000"/>
          <w:sz w:val="22"/>
          <w:szCs w:val="22"/>
        </w:rPr>
        <w:t xml:space="preserve"> ____ , </w:t>
      </w:r>
      <w:proofErr w:type="spellStart"/>
      <w:r>
        <w:rPr>
          <w:color w:val="000000"/>
          <w:sz w:val="22"/>
          <w:szCs w:val="22"/>
        </w:rPr>
        <w:t>núm</w:t>
      </w:r>
      <w:proofErr w:type="spellEnd"/>
      <w:r>
        <w:rPr>
          <w:color w:val="000000"/>
          <w:sz w:val="22"/>
          <w:szCs w:val="22"/>
        </w:rPr>
        <w:t xml:space="preserve"> de protocolo ___________ </w:t>
      </w:r>
    </w:p>
    <w:p w:rsidR="00584DA1" w:rsidRDefault="00584DA1">
      <w:pPr>
        <w:jc w:val="both"/>
        <w:rPr>
          <w:color w:val="000000"/>
          <w:sz w:val="22"/>
          <w:szCs w:val="22"/>
        </w:rPr>
      </w:pPr>
    </w:p>
    <w:p w:rsidR="00584DA1" w:rsidRDefault="002A35DC">
      <w:pPr>
        <w:jc w:val="both"/>
      </w:pPr>
      <w:r>
        <w:rPr>
          <w:b/>
          <w:color w:val="000000"/>
          <w:sz w:val="22"/>
          <w:szCs w:val="22"/>
        </w:rPr>
        <w:t xml:space="preserve">DECLARA, bajo su responsabilidad </w:t>
      </w:r>
      <w:r>
        <w:rPr>
          <w:b/>
          <w:color w:val="000000"/>
          <w:sz w:val="16"/>
          <w:szCs w:val="16"/>
        </w:rPr>
        <w:t>1</w:t>
      </w:r>
      <w:r>
        <w:rPr>
          <w:color w:val="000000"/>
          <w:sz w:val="16"/>
          <w:szCs w:val="16"/>
        </w:rPr>
        <w:t xml:space="preserve"> </w:t>
      </w:r>
    </w:p>
    <w:p w:rsidR="00584DA1" w:rsidRDefault="00584DA1">
      <w:pPr>
        <w:jc w:val="both"/>
        <w:rPr>
          <w:color w:val="000000"/>
          <w:sz w:val="16"/>
          <w:szCs w:val="16"/>
        </w:rPr>
      </w:pPr>
    </w:p>
    <w:p w:rsidR="00584DA1" w:rsidRDefault="002A35DC">
      <w:pPr>
        <w:tabs>
          <w:tab w:val="left" w:pos="8505"/>
        </w:tabs>
        <w:ind w:left="283" w:hanging="284"/>
        <w:jc w:val="both"/>
        <w:rPr>
          <w:color w:val="000000"/>
          <w:sz w:val="22"/>
          <w:szCs w:val="22"/>
        </w:rPr>
      </w:pPr>
      <w:r>
        <w:rPr>
          <w:rFonts w:ascii="Calibri" w:eastAsia="Calibri" w:hAnsi="Calibri" w:cs="Calibri"/>
          <w:i w:val="0"/>
          <w:color w:val="000000"/>
          <w:sz w:val="22"/>
          <w:szCs w:val="22"/>
        </w:rPr>
        <w:t>1.-</w:t>
      </w:r>
      <w:r>
        <w:rPr>
          <w:rFonts w:ascii="Calibri" w:eastAsia="Calibri" w:hAnsi="Calibri" w:cs="Calibri"/>
          <w:i w:val="0"/>
          <w:color w:val="000000"/>
          <w:sz w:val="22"/>
          <w:szCs w:val="22"/>
        </w:rPr>
        <w:tab/>
      </w:r>
      <w:r>
        <w:rPr>
          <w:i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584DA1" w:rsidRDefault="00584DA1">
      <w:pPr>
        <w:ind w:left="283" w:right="425" w:hanging="284"/>
        <w:jc w:val="both"/>
        <w:rPr>
          <w:color w:val="000000"/>
          <w:sz w:val="22"/>
          <w:szCs w:val="22"/>
        </w:rPr>
      </w:pPr>
    </w:p>
    <w:p w:rsidR="00584DA1" w:rsidRDefault="002A35DC">
      <w:pPr>
        <w:tabs>
          <w:tab w:val="left" w:pos="8505"/>
        </w:tabs>
        <w:ind w:left="283" w:hanging="284"/>
        <w:jc w:val="both"/>
        <w:rPr>
          <w:color w:val="000000"/>
          <w:sz w:val="22"/>
          <w:szCs w:val="22"/>
        </w:rPr>
      </w:pPr>
      <w:r>
        <w:rPr>
          <w:i w:val="0"/>
          <w:color w:val="00000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584DA1" w:rsidRDefault="00584DA1">
      <w:pPr>
        <w:ind w:left="283" w:right="425" w:hanging="284"/>
        <w:jc w:val="both"/>
        <w:rPr>
          <w:color w:val="000000"/>
          <w:sz w:val="22"/>
          <w:szCs w:val="22"/>
        </w:rPr>
      </w:pPr>
    </w:p>
    <w:p w:rsidR="00584DA1" w:rsidRDefault="002A35DC">
      <w:pPr>
        <w:ind w:left="283" w:hanging="284"/>
        <w:jc w:val="both"/>
        <w:rPr>
          <w:color w:val="000000"/>
          <w:sz w:val="22"/>
          <w:szCs w:val="22"/>
        </w:rPr>
      </w:pPr>
      <w:r>
        <w:rPr>
          <w:i w:val="0"/>
          <w:color w:val="000000"/>
          <w:sz w:val="22"/>
          <w:szCs w:val="22"/>
        </w:rPr>
        <w:t xml:space="preserve">    </w:t>
      </w:r>
      <w:r>
        <w:rPr>
          <w:i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color w:val="000000"/>
          <w:sz w:val="22"/>
          <w:szCs w:val="22"/>
          <w:highlight w:val="white"/>
        </w:rPr>
        <w:t>po de ejecución del contrato,</w:t>
      </w:r>
      <w:r>
        <w:rPr>
          <w:i w:val="0"/>
          <w:color w:val="000000"/>
          <w:sz w:val="22"/>
          <w:szCs w:val="22"/>
        </w:rPr>
        <w:t xml:space="preserve"> con el compromiso de comunicar a ASEPEYO cualquier variación respecto a los mismos. </w:t>
      </w:r>
    </w:p>
    <w:p w:rsidR="00584DA1" w:rsidRDefault="00584DA1">
      <w:pPr>
        <w:ind w:left="283" w:right="425" w:hanging="284"/>
        <w:jc w:val="both"/>
        <w:rPr>
          <w:color w:val="000000"/>
          <w:sz w:val="22"/>
          <w:szCs w:val="22"/>
        </w:rPr>
      </w:pPr>
    </w:p>
    <w:p w:rsidR="00584DA1" w:rsidRDefault="002A35DC">
      <w:pPr>
        <w:tabs>
          <w:tab w:val="left" w:pos="8505"/>
        </w:tabs>
        <w:ind w:left="283" w:hanging="284"/>
        <w:jc w:val="both"/>
        <w:rPr>
          <w:color w:val="000000"/>
          <w:sz w:val="22"/>
          <w:szCs w:val="22"/>
        </w:rPr>
      </w:pPr>
      <w:r>
        <w:rPr>
          <w:sz w:val="22"/>
          <w:szCs w:val="22"/>
        </w:rPr>
        <w:t>3</w:t>
      </w:r>
      <w:r>
        <w:rPr>
          <w:i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584DA1" w:rsidRDefault="00584DA1">
      <w:pPr>
        <w:jc w:val="both"/>
        <w:rPr>
          <w:color w:val="000000"/>
          <w:sz w:val="22"/>
          <w:szCs w:val="22"/>
        </w:rPr>
      </w:pPr>
    </w:p>
    <w:p w:rsidR="00584DA1" w:rsidRDefault="002A35DC">
      <w:pPr>
        <w:ind w:left="283" w:hanging="284"/>
        <w:jc w:val="both"/>
        <w:rPr>
          <w:color w:val="000000"/>
          <w:sz w:val="22"/>
          <w:szCs w:val="22"/>
        </w:rPr>
      </w:pPr>
      <w:r>
        <w:rPr>
          <w:sz w:val="22"/>
          <w:szCs w:val="22"/>
        </w:rPr>
        <w:t>4</w:t>
      </w:r>
      <w:r>
        <w:rPr>
          <w:i w:val="0"/>
          <w:color w:val="000000"/>
          <w:sz w:val="22"/>
          <w:szCs w:val="22"/>
        </w:rPr>
        <w:t>.- Que la empresa que representa:  (  señale la que  corresponda):</w:t>
      </w:r>
    </w:p>
    <w:p w:rsidR="00584DA1" w:rsidRDefault="00584DA1">
      <w:pPr>
        <w:ind w:left="283" w:hanging="284"/>
        <w:jc w:val="both"/>
        <w:rPr>
          <w:color w:val="000000"/>
          <w:sz w:val="22"/>
          <w:szCs w:val="22"/>
          <w:highlight w:val="yellow"/>
        </w:rPr>
      </w:pPr>
    </w:p>
    <w:p w:rsidR="00584DA1" w:rsidRDefault="002A35DC">
      <w:pPr>
        <w:tabs>
          <w:tab w:val="left" w:pos="567"/>
        </w:tabs>
        <w:ind w:left="283"/>
        <w:jc w:val="both"/>
      </w:pPr>
      <w:r>
        <w:rPr>
          <w:rFonts w:eastAsia="Arial"/>
          <w:sz w:val="22"/>
          <w:szCs w:val="22"/>
        </w:rPr>
        <w:t>☐</w:t>
      </w:r>
      <w:r>
        <w:rPr>
          <w:sz w:val="22"/>
          <w:szCs w:val="22"/>
        </w:rPr>
        <w:t xml:space="preserve"> Está clasificada  según </w:t>
      </w:r>
      <w:r>
        <w:rPr>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584DA1" w:rsidRDefault="00584DA1">
      <w:pPr>
        <w:tabs>
          <w:tab w:val="left" w:pos="567"/>
        </w:tabs>
        <w:ind w:left="283"/>
        <w:jc w:val="both"/>
        <w:rPr>
          <w:i w:val="0"/>
          <w:color w:val="000000"/>
          <w:sz w:val="22"/>
          <w:szCs w:val="22"/>
        </w:rPr>
      </w:pPr>
    </w:p>
    <w:p w:rsidR="00584DA1" w:rsidRDefault="00584DA1">
      <w:pPr>
        <w:tabs>
          <w:tab w:val="left" w:pos="567"/>
        </w:tabs>
        <w:ind w:left="283"/>
        <w:jc w:val="both"/>
        <w:rPr>
          <w:i w:val="0"/>
          <w:color w:val="000000"/>
          <w:sz w:val="22"/>
          <w:szCs w:val="22"/>
        </w:rPr>
      </w:pPr>
    </w:p>
    <w:p w:rsidR="00584DA1" w:rsidRDefault="00584DA1">
      <w:pPr>
        <w:ind w:left="566" w:hanging="284"/>
        <w:jc w:val="both"/>
        <w:rPr>
          <w:i w:val="0"/>
          <w:color w:val="000000"/>
          <w:sz w:val="22"/>
          <w:szCs w:val="22"/>
        </w:rPr>
      </w:pPr>
    </w:p>
    <w:p w:rsidR="00584DA1" w:rsidRDefault="00584DA1">
      <w:pPr>
        <w:ind w:left="566" w:hanging="284"/>
        <w:jc w:val="both"/>
        <w:rPr>
          <w:color w:val="000000"/>
          <w:sz w:val="22"/>
          <w:szCs w:val="22"/>
        </w:rPr>
      </w:pPr>
    </w:p>
    <w:p w:rsidR="00584DA1" w:rsidRDefault="002A35DC">
      <w:r>
        <w:rPr>
          <w:i w:val="0"/>
          <w:color w:val="000000"/>
          <w:sz w:val="22"/>
          <w:szCs w:val="22"/>
        </w:rPr>
        <w:t xml:space="preserve">    </w:t>
      </w:r>
      <w:r>
        <w:rPr>
          <w:rFonts w:eastAsia="Arial"/>
          <w:i w:val="0"/>
          <w:color w:val="000000"/>
          <w:sz w:val="22"/>
          <w:szCs w:val="22"/>
        </w:rPr>
        <w:t>☐</w:t>
      </w:r>
      <w:r>
        <w:rPr>
          <w:i w:val="0"/>
          <w:color w:val="000000"/>
          <w:sz w:val="22"/>
          <w:szCs w:val="22"/>
        </w:rPr>
        <w:t xml:space="preserve"> Está  inscrita en el Registro Oficial de  Licitadores  y  Empresas Clasificadas </w:t>
      </w:r>
    </w:p>
    <w:p w:rsidR="00584DA1" w:rsidRDefault="00584DA1">
      <w:pPr>
        <w:rPr>
          <w:i w:val="0"/>
          <w:color w:val="000000"/>
          <w:sz w:val="22"/>
          <w:szCs w:val="22"/>
        </w:rPr>
      </w:pPr>
    </w:p>
    <w:p w:rsidR="00584DA1" w:rsidRDefault="002A35DC">
      <w:pPr>
        <w:rPr>
          <w:color w:val="000000"/>
          <w:sz w:val="22"/>
          <w:szCs w:val="22"/>
        </w:rPr>
      </w:pPr>
      <w:r>
        <w:rPr>
          <w:i w:val="0"/>
          <w:color w:val="000000"/>
          <w:sz w:val="22"/>
          <w:szCs w:val="22"/>
        </w:rPr>
        <w:t xml:space="preserve">    del  Estado (ROLECE) con el número -------</w:t>
      </w:r>
    </w:p>
    <w:p w:rsidR="00584DA1" w:rsidRDefault="00584DA1">
      <w:pPr>
        <w:ind w:firstLine="708"/>
        <w:rPr>
          <w:color w:val="000000"/>
          <w:sz w:val="22"/>
          <w:szCs w:val="22"/>
        </w:rPr>
      </w:pPr>
    </w:p>
    <w:p w:rsidR="00584DA1" w:rsidRDefault="002A35DC">
      <w:pPr>
        <w:tabs>
          <w:tab w:val="left" w:pos="567"/>
        </w:tabs>
        <w:ind w:left="708"/>
        <w:jc w:val="both"/>
        <w:rPr>
          <w:i w:val="0"/>
          <w:color w:val="000000"/>
          <w:sz w:val="22"/>
          <w:szCs w:val="22"/>
        </w:rPr>
      </w:pPr>
      <w:r>
        <w:rPr>
          <w:b/>
          <w:color w:val="000000"/>
          <w:sz w:val="22"/>
          <w:szCs w:val="22"/>
        </w:rPr>
        <w:t>A-</w:t>
      </w:r>
      <w:r>
        <w:rPr>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584DA1" w:rsidRDefault="00584DA1">
      <w:pPr>
        <w:tabs>
          <w:tab w:val="left" w:pos="567"/>
        </w:tabs>
        <w:ind w:left="708"/>
        <w:jc w:val="both"/>
        <w:rPr>
          <w:i w:val="0"/>
          <w:color w:val="000000"/>
          <w:sz w:val="22"/>
          <w:szCs w:val="22"/>
        </w:rPr>
      </w:pPr>
    </w:p>
    <w:p w:rsidR="00584DA1" w:rsidRDefault="002A35DC">
      <w:pPr>
        <w:tabs>
          <w:tab w:val="left" w:pos="567"/>
        </w:tabs>
        <w:ind w:left="708"/>
        <w:jc w:val="both"/>
        <w:rPr>
          <w:i w:val="0"/>
          <w:color w:val="000000"/>
          <w:sz w:val="22"/>
          <w:szCs w:val="22"/>
        </w:rPr>
      </w:pPr>
      <w:r>
        <w:rPr>
          <w:b/>
          <w:color w:val="000000"/>
          <w:sz w:val="22"/>
          <w:szCs w:val="22"/>
        </w:rPr>
        <w:t>B-</w:t>
      </w:r>
      <w:r>
        <w:rPr>
          <w:color w:val="000000"/>
          <w:sz w:val="22"/>
          <w:szCs w:val="22"/>
        </w:rPr>
        <w:t xml:space="preserve"> Que los datos de esta empresa que constan en el Registro de Licitadores referentes a:</w:t>
      </w:r>
    </w:p>
    <w:p w:rsidR="00584DA1" w:rsidRDefault="002A35DC">
      <w:pPr>
        <w:tabs>
          <w:tab w:val="left" w:pos="567"/>
        </w:tabs>
        <w:ind w:left="708"/>
        <w:jc w:val="both"/>
        <w:rPr>
          <w:i w:val="0"/>
          <w:color w:val="000000"/>
          <w:sz w:val="22"/>
          <w:szCs w:val="22"/>
        </w:rPr>
      </w:pPr>
      <w:r>
        <w:rPr>
          <w:color w:val="000000"/>
          <w:sz w:val="22"/>
          <w:szCs w:val="22"/>
        </w:rPr>
        <w:t>1.</w:t>
      </w:r>
    </w:p>
    <w:p w:rsidR="00584DA1" w:rsidRDefault="002A35DC">
      <w:pPr>
        <w:tabs>
          <w:tab w:val="left" w:pos="567"/>
        </w:tabs>
        <w:ind w:left="708"/>
        <w:jc w:val="both"/>
        <w:rPr>
          <w:i w:val="0"/>
          <w:color w:val="000000"/>
          <w:sz w:val="22"/>
          <w:szCs w:val="22"/>
        </w:rPr>
      </w:pPr>
      <w:r>
        <w:rPr>
          <w:color w:val="000000"/>
          <w:sz w:val="22"/>
          <w:szCs w:val="22"/>
        </w:rPr>
        <w:t>2.</w:t>
      </w:r>
    </w:p>
    <w:p w:rsidR="00584DA1" w:rsidRDefault="002A35DC">
      <w:pPr>
        <w:tabs>
          <w:tab w:val="left" w:pos="567"/>
        </w:tabs>
        <w:ind w:left="708"/>
        <w:jc w:val="both"/>
        <w:rPr>
          <w:i w:val="0"/>
          <w:color w:val="000000"/>
          <w:sz w:val="22"/>
          <w:szCs w:val="22"/>
        </w:rPr>
      </w:pPr>
      <w:r>
        <w:rPr>
          <w:color w:val="000000"/>
          <w:sz w:val="22"/>
          <w:szCs w:val="22"/>
        </w:rPr>
        <w:t>3.</w:t>
      </w:r>
    </w:p>
    <w:p w:rsidR="00584DA1" w:rsidRDefault="002A35DC">
      <w:pPr>
        <w:tabs>
          <w:tab w:val="left" w:pos="567"/>
        </w:tabs>
        <w:ind w:left="708"/>
        <w:jc w:val="both"/>
        <w:rPr>
          <w:i w:val="0"/>
          <w:color w:val="000000"/>
          <w:sz w:val="22"/>
          <w:szCs w:val="22"/>
        </w:rPr>
      </w:pPr>
      <w:r>
        <w:rPr>
          <w:color w:val="000000"/>
          <w:sz w:val="22"/>
          <w:szCs w:val="22"/>
        </w:rPr>
        <w:t>4.</w:t>
      </w:r>
    </w:p>
    <w:p w:rsidR="00584DA1" w:rsidRDefault="002A35DC">
      <w:pPr>
        <w:tabs>
          <w:tab w:val="left" w:pos="567"/>
        </w:tabs>
        <w:ind w:left="708"/>
        <w:jc w:val="both"/>
        <w:rPr>
          <w:i w:val="0"/>
          <w:color w:val="000000"/>
          <w:sz w:val="22"/>
          <w:szCs w:val="22"/>
        </w:rPr>
      </w:pPr>
      <w:r>
        <w:rPr>
          <w:color w:val="000000"/>
          <w:sz w:val="22"/>
          <w:szCs w:val="22"/>
        </w:rPr>
        <w:t>han sufrido alteración según se acredita mediante los documentos que se adjuntan a la presente declaración y que estos extremos ya han sido comunicados al Registro con fecha______</w:t>
      </w:r>
    </w:p>
    <w:p w:rsidR="00584DA1" w:rsidRDefault="00584DA1">
      <w:pPr>
        <w:tabs>
          <w:tab w:val="left" w:pos="567"/>
        </w:tabs>
        <w:ind w:left="283"/>
        <w:jc w:val="both"/>
        <w:rPr>
          <w:rFonts w:eastAsia="Arial"/>
          <w:i w:val="0"/>
          <w:color w:val="000000"/>
          <w:sz w:val="22"/>
          <w:szCs w:val="22"/>
        </w:rPr>
      </w:pPr>
    </w:p>
    <w:p w:rsidR="00584DA1" w:rsidRDefault="002A35DC">
      <w:pPr>
        <w:tabs>
          <w:tab w:val="left" w:pos="567"/>
        </w:tabs>
        <w:ind w:left="708"/>
        <w:jc w:val="both"/>
      </w:pPr>
      <w:r>
        <w:rPr>
          <w:color w:val="000000"/>
          <w:sz w:val="18"/>
          <w:szCs w:val="18"/>
        </w:rPr>
        <w:t>(Las opciones A) y B) son incompatibles entre sí, señale solamente la que corresponda</w:t>
      </w:r>
      <w:r>
        <w:rPr>
          <w:rFonts w:eastAsia="Arial"/>
          <w:sz w:val="18"/>
          <w:szCs w:val="18"/>
        </w:rPr>
        <w:t xml:space="preserve"> </w:t>
      </w:r>
    </w:p>
    <w:p w:rsidR="00584DA1" w:rsidRDefault="00584DA1">
      <w:pPr>
        <w:tabs>
          <w:tab w:val="left" w:pos="567"/>
        </w:tabs>
        <w:ind w:left="283"/>
        <w:jc w:val="both"/>
        <w:rPr>
          <w:rFonts w:eastAsia="Arial"/>
          <w:sz w:val="22"/>
          <w:szCs w:val="22"/>
        </w:rPr>
      </w:pPr>
    </w:p>
    <w:p w:rsidR="00584DA1" w:rsidRDefault="002A35DC">
      <w:pPr>
        <w:tabs>
          <w:tab w:val="left" w:pos="567"/>
        </w:tabs>
        <w:ind w:left="283"/>
        <w:jc w:val="both"/>
      </w:pPr>
      <w:r>
        <w:rPr>
          <w:rFonts w:eastAsia="Arial"/>
          <w:sz w:val="22"/>
          <w:szCs w:val="22"/>
        </w:rPr>
        <w:t>☐</w:t>
      </w:r>
      <w:r>
        <w:rPr>
          <w:sz w:val="22"/>
          <w:szCs w:val="22"/>
        </w:rPr>
        <w:t xml:space="preserve"> No</w:t>
      </w:r>
      <w:r>
        <w:rPr>
          <w:color w:val="000000"/>
          <w:sz w:val="22"/>
          <w:szCs w:val="22"/>
        </w:rPr>
        <w:t xml:space="preserve"> está clasificada ni inscrita en el ROLECE</w:t>
      </w:r>
    </w:p>
    <w:p w:rsidR="00584DA1" w:rsidRDefault="00584DA1">
      <w:pPr>
        <w:tabs>
          <w:tab w:val="left" w:pos="567"/>
        </w:tabs>
        <w:ind w:left="283"/>
        <w:jc w:val="both"/>
        <w:rPr>
          <w:color w:val="000000"/>
          <w:sz w:val="22"/>
          <w:szCs w:val="22"/>
        </w:rPr>
      </w:pPr>
    </w:p>
    <w:p w:rsidR="00584DA1" w:rsidRDefault="00584DA1">
      <w:pPr>
        <w:ind w:left="283" w:right="425" w:hanging="284"/>
        <w:jc w:val="both"/>
        <w:rPr>
          <w:color w:val="000000"/>
          <w:sz w:val="22"/>
          <w:szCs w:val="22"/>
        </w:rPr>
      </w:pPr>
    </w:p>
    <w:p w:rsidR="00584DA1" w:rsidRDefault="00584DA1">
      <w:pPr>
        <w:ind w:left="283" w:right="425" w:hanging="284"/>
        <w:jc w:val="both"/>
        <w:rPr>
          <w:color w:val="000000"/>
          <w:sz w:val="22"/>
          <w:szCs w:val="22"/>
        </w:rPr>
      </w:pPr>
    </w:p>
    <w:p w:rsidR="00584DA1" w:rsidRDefault="002A35DC">
      <w:pPr>
        <w:jc w:val="both"/>
        <w:rPr>
          <w:i w:val="0"/>
          <w:color w:val="000000"/>
          <w:sz w:val="22"/>
          <w:szCs w:val="22"/>
        </w:rPr>
      </w:pPr>
      <w:r>
        <w:rPr>
          <w:color w:val="000000"/>
          <w:sz w:val="22"/>
          <w:szCs w:val="22"/>
        </w:rPr>
        <w:t xml:space="preserve">En ______________ a ___ de ____ </w:t>
      </w:r>
      <w:proofErr w:type="spellStart"/>
      <w:r>
        <w:rPr>
          <w:color w:val="000000"/>
          <w:sz w:val="22"/>
          <w:szCs w:val="22"/>
        </w:rPr>
        <w:t>de</w:t>
      </w:r>
      <w:proofErr w:type="spellEnd"/>
      <w:r>
        <w:rPr>
          <w:color w:val="000000"/>
          <w:sz w:val="22"/>
          <w:szCs w:val="22"/>
        </w:rPr>
        <w:t xml:space="preserve"> 20__</w:t>
      </w:r>
    </w:p>
    <w:p w:rsidR="00584DA1" w:rsidRDefault="002A35DC">
      <w:pPr>
        <w:spacing w:after="240"/>
        <w:rPr>
          <w:sz w:val="22"/>
          <w:szCs w:val="22"/>
        </w:rPr>
      </w:pPr>
      <w:r>
        <w:rPr>
          <w:sz w:val="22"/>
          <w:szCs w:val="22"/>
        </w:rPr>
        <w:br/>
      </w:r>
      <w:r>
        <w:rPr>
          <w:sz w:val="22"/>
          <w:szCs w:val="22"/>
        </w:rPr>
        <w:br/>
      </w:r>
      <w:r>
        <w:rPr>
          <w:color w:val="000000"/>
          <w:sz w:val="22"/>
          <w:szCs w:val="22"/>
        </w:rPr>
        <w:t>Fdo.:      </w:t>
      </w:r>
    </w:p>
    <w:p w:rsidR="00584DA1" w:rsidRDefault="002A35DC">
      <w:pPr>
        <w:spacing w:after="240"/>
        <w:rPr>
          <w:sz w:val="22"/>
          <w:szCs w:val="22"/>
        </w:rPr>
      </w:pPr>
      <w:r>
        <w:rPr>
          <w:sz w:val="22"/>
          <w:szCs w:val="22"/>
        </w:rPr>
        <w:br/>
      </w:r>
      <w:r>
        <w:rPr>
          <w:b/>
          <w:color w:val="000000"/>
          <w:sz w:val="22"/>
          <w:szCs w:val="22"/>
        </w:rPr>
        <w:t>PRESIDENCIA DE LA MESA DE CONTRATACIÓN</w:t>
      </w:r>
    </w:p>
    <w:p w:rsidR="00584DA1" w:rsidRDefault="002A35DC">
      <w:pPr>
        <w:jc w:val="both"/>
        <w:rPr>
          <w:rFonts w:ascii="Times New Roman" w:hAnsi="Times New Roman" w:cs="Times New Roman"/>
          <w:i w:val="0"/>
          <w:color w:val="000000"/>
          <w:sz w:val="22"/>
          <w:szCs w:val="22"/>
        </w:rPr>
      </w:pPr>
      <w:r>
        <w:rPr>
          <w:b/>
          <w:i w:val="0"/>
          <w:color w:val="000000"/>
          <w:sz w:val="22"/>
          <w:szCs w:val="22"/>
        </w:rPr>
        <w:t>ASEPEYO</w:t>
      </w:r>
    </w:p>
    <w:p w:rsidR="00584DA1" w:rsidRDefault="00584DA1">
      <w:pPr>
        <w:tabs>
          <w:tab w:val="left" w:pos="567"/>
        </w:tabs>
        <w:jc w:val="both"/>
        <w:rPr>
          <w:rFonts w:ascii="Times New Roman" w:hAnsi="Times New Roman" w:cs="Times New Roman"/>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2A35DC">
      <w:pPr>
        <w:numPr>
          <w:ilvl w:val="0"/>
          <w:numId w:val="2"/>
        </w:numPr>
        <w:pBdr>
          <w:top w:val="nil"/>
          <w:left w:val="nil"/>
          <w:bottom w:val="nil"/>
          <w:right w:val="nil"/>
          <w:between w:val="nil"/>
        </w:pBdr>
        <w:tabs>
          <w:tab w:val="center" w:pos="4252"/>
          <w:tab w:val="right" w:pos="8504"/>
          <w:tab w:val="center" w:pos="567"/>
          <w:tab w:val="right" w:pos="8504"/>
        </w:tabs>
        <w:rPr>
          <w:rFonts w:eastAsia="Arial"/>
          <w:color w:val="000000"/>
        </w:rPr>
      </w:pPr>
      <w:r>
        <w:rPr>
          <w:rFonts w:eastAsia="Arial"/>
          <w:b/>
          <w:color w:val="000000"/>
          <w:sz w:val="14"/>
          <w:szCs w:val="14"/>
        </w:rPr>
        <w:t>En caso de unión temporal de empresas hay que presentar una declaración por  cada empresa que forma parte de la UTE</w:t>
      </w:r>
    </w:p>
    <w:tbl>
      <w:tblPr>
        <w:tblStyle w:val="a7"/>
        <w:tblW w:w="9575" w:type="dxa"/>
        <w:tblInd w:w="-324" w:type="dxa"/>
        <w:tblLayout w:type="fixed"/>
        <w:tblLook w:val="0000" w:firstRow="0" w:lastRow="0" w:firstColumn="0" w:lastColumn="0" w:noHBand="0" w:noVBand="0"/>
      </w:tblPr>
      <w:tblGrid>
        <w:gridCol w:w="9575"/>
      </w:tblGrid>
      <w:tr w:rsidR="00584DA1">
        <w:trPr>
          <w:trHeight w:val="765"/>
        </w:trPr>
        <w:tc>
          <w:tcPr>
            <w:tcW w:w="9575" w:type="dxa"/>
            <w:shd w:val="clear" w:color="auto" w:fill="00B0F0"/>
          </w:tcPr>
          <w:p w:rsidR="00584DA1" w:rsidRDefault="002A35DC">
            <w:pPr>
              <w:jc w:val="both"/>
              <w:rPr>
                <w:b/>
                <w:i w:val="0"/>
                <w:color w:val="FFFFFF"/>
                <w:sz w:val="22"/>
                <w:szCs w:val="22"/>
              </w:rPr>
            </w:pPr>
            <w:bookmarkStart w:id="6" w:name="bookmark=id.4k668n3" w:colFirst="0" w:colLast="0"/>
            <w:bookmarkEnd w:id="6"/>
            <w:r>
              <w:rPr>
                <w:b/>
                <w:i w:val="0"/>
                <w:color w:val="FFFFFF"/>
                <w:sz w:val="22"/>
                <w:szCs w:val="22"/>
              </w:rPr>
              <w:lastRenderedPageBreak/>
              <w:t>Anexo IV.3</w:t>
            </w:r>
          </w:p>
          <w:p w:rsidR="00584DA1" w:rsidRDefault="002A35DC">
            <w:pPr>
              <w:jc w:val="both"/>
              <w:rPr>
                <w:b/>
                <w:i w:val="0"/>
                <w:color w:val="FFFFFF"/>
                <w:sz w:val="22"/>
                <w:szCs w:val="22"/>
              </w:rPr>
            </w:pPr>
            <w:r>
              <w:rPr>
                <w:b/>
                <w:i w:val="0"/>
                <w:color w:val="FFFFFF"/>
                <w:sz w:val="22"/>
                <w:szCs w:val="22"/>
              </w:rPr>
              <w:t xml:space="preserve">Modelo normalizado de presentación de la documentación de capacidad y solvencia </w:t>
            </w:r>
          </w:p>
        </w:tc>
      </w:tr>
    </w:tbl>
    <w:p w:rsidR="00584DA1" w:rsidRDefault="00584DA1">
      <w:pPr>
        <w:widowControl w:val="0"/>
        <w:spacing w:line="276" w:lineRule="auto"/>
        <w:rPr>
          <w:b/>
          <w:i w:val="0"/>
          <w:color w:val="FFFFFF"/>
          <w:sz w:val="22"/>
          <w:szCs w:val="22"/>
        </w:rPr>
      </w:pPr>
    </w:p>
    <w:tbl>
      <w:tblPr>
        <w:tblStyle w:val="a8"/>
        <w:tblW w:w="9606" w:type="dxa"/>
        <w:tblInd w:w="-324" w:type="dxa"/>
        <w:tblLayout w:type="fixed"/>
        <w:tblLook w:val="0000" w:firstRow="0" w:lastRow="0" w:firstColumn="0" w:lastColumn="0" w:noHBand="0" w:noVBand="0"/>
      </w:tblPr>
      <w:tblGrid>
        <w:gridCol w:w="9606"/>
      </w:tblGrid>
      <w:tr w:rsidR="00584DA1">
        <w:trPr>
          <w:trHeight w:val="811"/>
        </w:trPr>
        <w:tc>
          <w:tcPr>
            <w:tcW w:w="9606" w:type="dxa"/>
            <w:shd w:val="clear" w:color="auto" w:fill="00B0F0"/>
          </w:tcPr>
          <w:p w:rsidR="006E73A4" w:rsidRDefault="006E73A4" w:rsidP="006E73A4">
            <w:pPr>
              <w:jc w:val="right"/>
              <w:rPr>
                <w:i w:val="0"/>
                <w:color w:val="000000"/>
                <w:sz w:val="24"/>
                <w:szCs w:val="24"/>
              </w:rPr>
            </w:pPr>
            <w:proofErr w:type="spellStart"/>
            <w:r>
              <w:rPr>
                <w:b/>
                <w:i w:val="0"/>
                <w:color w:val="FFFFFF"/>
                <w:sz w:val="22"/>
                <w:szCs w:val="22"/>
              </w:rPr>
              <w:t>Exp</w:t>
            </w:r>
            <w:proofErr w:type="spellEnd"/>
            <w:r>
              <w:rPr>
                <w:b/>
                <w:i w:val="0"/>
                <w:color w:val="FFFFFF"/>
                <w:sz w:val="22"/>
                <w:szCs w:val="22"/>
              </w:rPr>
              <w:t xml:space="preserve">. CP00057/2023                  </w:t>
            </w:r>
          </w:p>
          <w:p w:rsidR="006E73A4" w:rsidRDefault="006E73A4" w:rsidP="006E73A4">
            <w:pPr>
              <w:jc w:val="both"/>
              <w:rPr>
                <w:b/>
                <w:i w:val="0"/>
                <w:color w:val="FFFFFF"/>
                <w:sz w:val="22"/>
                <w:szCs w:val="22"/>
              </w:rPr>
            </w:pPr>
          </w:p>
          <w:p w:rsidR="006E73A4" w:rsidRPr="006E73A4" w:rsidRDefault="006E73A4" w:rsidP="006E73A4">
            <w:pPr>
              <w:pBdr>
                <w:top w:val="nil"/>
                <w:left w:val="nil"/>
                <w:bottom w:val="nil"/>
                <w:right w:val="nil"/>
                <w:between w:val="nil"/>
              </w:pBdr>
              <w:jc w:val="both"/>
              <w:rPr>
                <w:b/>
                <w:i w:val="0"/>
                <w:color w:val="FFFFFF"/>
                <w:sz w:val="22"/>
                <w:szCs w:val="22"/>
              </w:rPr>
            </w:pPr>
            <w:r w:rsidRPr="006E73A4">
              <w:rPr>
                <w:b/>
                <w:i w:val="0"/>
                <w:color w:val="FFFFFF"/>
                <w:sz w:val="22"/>
                <w:szCs w:val="22"/>
              </w:rPr>
              <w:t xml:space="preserve">Contratación no sujeta a regulación armonizada del Suministro de material succionador de líquidos para suelo quirúrgico en Hospitales de </w:t>
            </w:r>
            <w:proofErr w:type="spellStart"/>
            <w:r w:rsidRPr="006E73A4">
              <w:rPr>
                <w:b/>
                <w:i w:val="0"/>
                <w:color w:val="FFFFFF"/>
                <w:sz w:val="22"/>
                <w:szCs w:val="22"/>
              </w:rPr>
              <w:t>Asepeyo</w:t>
            </w:r>
            <w:proofErr w:type="spellEnd"/>
            <w:r w:rsidRPr="006E73A4">
              <w:rPr>
                <w:b/>
                <w:i w:val="0"/>
                <w:color w:val="FFFFFF"/>
                <w:sz w:val="22"/>
                <w:szCs w:val="22"/>
              </w:rPr>
              <w:t xml:space="preserve"> (</w:t>
            </w:r>
            <w:proofErr w:type="spellStart"/>
            <w:r w:rsidRPr="006E73A4">
              <w:rPr>
                <w:b/>
                <w:i w:val="0"/>
                <w:color w:val="FFFFFF"/>
                <w:sz w:val="22"/>
                <w:szCs w:val="22"/>
              </w:rPr>
              <w:t>Coslada</w:t>
            </w:r>
            <w:proofErr w:type="spellEnd"/>
            <w:r w:rsidRPr="006E73A4">
              <w:rPr>
                <w:b/>
                <w:i w:val="0"/>
                <w:color w:val="FFFFFF"/>
                <w:sz w:val="22"/>
                <w:szCs w:val="22"/>
              </w:rPr>
              <w:t xml:space="preserve">, </w:t>
            </w:r>
            <w:proofErr w:type="spellStart"/>
            <w:r w:rsidRPr="006E73A4">
              <w:rPr>
                <w:b/>
                <w:i w:val="0"/>
                <w:color w:val="FFFFFF"/>
                <w:sz w:val="22"/>
                <w:szCs w:val="22"/>
              </w:rPr>
              <w:t>Sant</w:t>
            </w:r>
            <w:proofErr w:type="spellEnd"/>
            <w:r w:rsidRPr="006E73A4">
              <w:rPr>
                <w:b/>
                <w:i w:val="0"/>
                <w:color w:val="FFFFFF"/>
                <w:sz w:val="22"/>
                <w:szCs w:val="22"/>
              </w:rPr>
              <w:t xml:space="preserve"> </w:t>
            </w:r>
            <w:proofErr w:type="spellStart"/>
            <w:r w:rsidRPr="006E73A4">
              <w:rPr>
                <w:b/>
                <w:i w:val="0"/>
                <w:color w:val="FFFFFF"/>
                <w:sz w:val="22"/>
                <w:szCs w:val="22"/>
              </w:rPr>
              <w:t>Cugat</w:t>
            </w:r>
            <w:proofErr w:type="spellEnd"/>
            <w:r w:rsidRPr="006E73A4">
              <w:rPr>
                <w:b/>
                <w:i w:val="0"/>
                <w:color w:val="FFFFFF"/>
                <w:sz w:val="22"/>
                <w:szCs w:val="22"/>
              </w:rPr>
              <w:t xml:space="preserve"> y La Cartuja), Mutua Colaboradora con la Seguridad Social nº 151.</w:t>
            </w:r>
          </w:p>
          <w:p w:rsidR="00584DA1" w:rsidRDefault="00584DA1">
            <w:pPr>
              <w:jc w:val="both"/>
              <w:rPr>
                <w:b/>
                <w:i w:val="0"/>
                <w:color w:val="FFFFFF"/>
                <w:sz w:val="22"/>
                <w:szCs w:val="22"/>
              </w:rPr>
            </w:pPr>
          </w:p>
        </w:tc>
      </w:tr>
    </w:tbl>
    <w:p w:rsidR="00584DA1" w:rsidRDefault="00584DA1">
      <w:pPr>
        <w:jc w:val="both"/>
        <w:rPr>
          <w:b/>
          <w:i w:val="0"/>
          <w:color w:val="000080"/>
          <w:sz w:val="22"/>
          <w:szCs w:val="22"/>
        </w:rPr>
      </w:pPr>
    </w:p>
    <w:p w:rsidR="00584DA1" w:rsidRDefault="00584DA1">
      <w:pPr>
        <w:tabs>
          <w:tab w:val="left" w:pos="567"/>
        </w:tabs>
        <w:jc w:val="both"/>
        <w:rPr>
          <w:b/>
          <w:i w:val="0"/>
          <w:color w:val="000080"/>
          <w:sz w:val="22"/>
          <w:szCs w:val="22"/>
        </w:rPr>
      </w:pPr>
    </w:p>
    <w:p w:rsidR="00584DA1" w:rsidRDefault="002A35DC">
      <w:pPr>
        <w:pStyle w:val="Ttulo5"/>
        <w:rPr>
          <w:b/>
        </w:rPr>
      </w:pPr>
      <w:r>
        <w:rPr>
          <w:b/>
        </w:rPr>
        <w:t>Empresa Ofertante</w:t>
      </w:r>
    </w:p>
    <w:p w:rsidR="00584DA1" w:rsidRDefault="00584DA1">
      <w:pPr>
        <w:rPr>
          <w:b/>
          <w:i w:val="0"/>
        </w:rPr>
      </w:pPr>
    </w:p>
    <w:p w:rsidR="00584DA1" w:rsidRDefault="002A35DC">
      <w:pPr>
        <w:numPr>
          <w:ilvl w:val="0"/>
          <w:numId w:val="5"/>
        </w:numPr>
        <w:ind w:left="0"/>
        <w:rPr>
          <w:i w:val="0"/>
        </w:rPr>
      </w:pPr>
      <w:r>
        <w:rPr>
          <w:i w:val="0"/>
        </w:rPr>
        <w:t xml:space="preserve">Empresa única </w:t>
      </w:r>
    </w:p>
    <w:p w:rsidR="00584DA1" w:rsidRDefault="00584DA1">
      <w:pPr>
        <w:rPr>
          <w:i w:val="0"/>
        </w:rPr>
      </w:pPr>
    </w:p>
    <w:tbl>
      <w:tblPr>
        <w:tblStyle w:val="a9"/>
        <w:tblW w:w="8384"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584DA1">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584DA1" w:rsidRDefault="00584DA1">
            <w:pPr>
              <w:rPr>
                <w:i w:val="0"/>
              </w:rPr>
            </w:pPr>
          </w:p>
          <w:p w:rsidR="00584DA1" w:rsidRDefault="00584DA1">
            <w:pPr>
              <w:rPr>
                <w:i w:val="0"/>
              </w:rPr>
            </w:pPr>
          </w:p>
        </w:tc>
      </w:tr>
    </w:tbl>
    <w:p w:rsidR="00584DA1" w:rsidRDefault="00584DA1">
      <w:pPr>
        <w:rPr>
          <w:i w:val="0"/>
        </w:rPr>
      </w:pPr>
    </w:p>
    <w:p w:rsidR="00584DA1" w:rsidRDefault="002A35DC">
      <w:pPr>
        <w:numPr>
          <w:ilvl w:val="0"/>
          <w:numId w:val="5"/>
        </w:numPr>
        <w:ind w:left="0"/>
        <w:rPr>
          <w:i w:val="0"/>
        </w:rPr>
      </w:pPr>
      <w:r>
        <w:rPr>
          <w:i w:val="0"/>
        </w:rPr>
        <w:t>Unión Temporal de Empresas U.T.E.</w:t>
      </w:r>
    </w:p>
    <w:p w:rsidR="00584DA1" w:rsidRDefault="00584DA1">
      <w:pPr>
        <w:rPr>
          <w:i w:val="0"/>
        </w:rPr>
      </w:pPr>
    </w:p>
    <w:tbl>
      <w:tblPr>
        <w:tblStyle w:val="aa"/>
        <w:tblW w:w="8384" w:type="dxa"/>
        <w:tblInd w:w="-216"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584DA1">
        <w:tc>
          <w:tcPr>
            <w:tcW w:w="4252" w:type="dxa"/>
            <w:tcBorders>
              <w:top w:val="single" w:sz="4" w:space="0" w:color="000000"/>
              <w:left w:val="single" w:sz="4" w:space="0" w:color="000000"/>
              <w:bottom w:val="single" w:sz="4" w:space="0" w:color="000000"/>
            </w:tcBorders>
            <w:shd w:val="clear" w:color="auto" w:fill="auto"/>
            <w:vAlign w:val="center"/>
          </w:tcPr>
          <w:p w:rsidR="00584DA1" w:rsidRDefault="002A35DC">
            <w:pPr>
              <w:rPr>
                <w:i w:val="0"/>
              </w:rPr>
            </w:pPr>
            <w:r>
              <w:rPr>
                <w:i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4DA1" w:rsidRDefault="002A35DC">
            <w:pPr>
              <w:rPr>
                <w:i w:val="0"/>
              </w:rPr>
            </w:pPr>
            <w:r>
              <w:rPr>
                <w:i w:val="0"/>
              </w:rPr>
              <w:t xml:space="preserve"> % participación </w:t>
            </w:r>
          </w:p>
        </w:tc>
      </w:tr>
      <w:tr w:rsidR="00584DA1">
        <w:trPr>
          <w:trHeight w:val="681"/>
        </w:trPr>
        <w:tc>
          <w:tcPr>
            <w:tcW w:w="4252" w:type="dxa"/>
            <w:tcBorders>
              <w:top w:val="single" w:sz="4" w:space="0" w:color="000000"/>
              <w:left w:val="single" w:sz="4" w:space="0" w:color="000000"/>
              <w:bottom w:val="single" w:sz="4" w:space="0" w:color="000000"/>
            </w:tcBorders>
            <w:shd w:val="clear" w:color="auto" w:fill="auto"/>
          </w:tcPr>
          <w:p w:rsidR="00584DA1" w:rsidRDefault="00584DA1">
            <w:pPr>
              <w:rPr>
                <w:i w:val="0"/>
              </w:rPr>
            </w:pPr>
          </w:p>
          <w:p w:rsidR="00584DA1" w:rsidRDefault="00584DA1">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84DA1" w:rsidRDefault="00584DA1">
            <w:pPr>
              <w:rPr>
                <w:i w:val="0"/>
              </w:rPr>
            </w:pPr>
          </w:p>
        </w:tc>
      </w:tr>
      <w:tr w:rsidR="00584DA1">
        <w:trPr>
          <w:trHeight w:val="681"/>
        </w:trPr>
        <w:tc>
          <w:tcPr>
            <w:tcW w:w="4252" w:type="dxa"/>
            <w:tcBorders>
              <w:top w:val="single" w:sz="4" w:space="0" w:color="000000"/>
              <w:left w:val="single" w:sz="4" w:space="0" w:color="000000"/>
              <w:bottom w:val="single" w:sz="4" w:space="0" w:color="000000"/>
            </w:tcBorders>
            <w:shd w:val="clear" w:color="auto" w:fill="auto"/>
          </w:tcPr>
          <w:p w:rsidR="00584DA1" w:rsidRDefault="00584DA1">
            <w:pPr>
              <w:rPr>
                <w:i w:val="0"/>
              </w:rPr>
            </w:pPr>
          </w:p>
          <w:p w:rsidR="00584DA1" w:rsidRDefault="00584DA1">
            <w:pPr>
              <w:rPr>
                <w:i w:val="0"/>
              </w:rPr>
            </w:pPr>
          </w:p>
          <w:p w:rsidR="00584DA1" w:rsidRDefault="00584DA1">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84DA1" w:rsidRDefault="00584DA1">
            <w:pPr>
              <w:rPr>
                <w:i w:val="0"/>
              </w:rPr>
            </w:pPr>
          </w:p>
        </w:tc>
      </w:tr>
      <w:tr w:rsidR="00584DA1">
        <w:trPr>
          <w:trHeight w:val="681"/>
        </w:trPr>
        <w:tc>
          <w:tcPr>
            <w:tcW w:w="4252" w:type="dxa"/>
            <w:tcBorders>
              <w:top w:val="single" w:sz="4" w:space="0" w:color="000000"/>
              <w:left w:val="single" w:sz="4" w:space="0" w:color="000000"/>
              <w:bottom w:val="single" w:sz="4" w:space="0" w:color="000000"/>
            </w:tcBorders>
            <w:shd w:val="clear" w:color="auto" w:fill="auto"/>
          </w:tcPr>
          <w:p w:rsidR="00584DA1" w:rsidRDefault="00584DA1">
            <w:pPr>
              <w:rPr>
                <w:i w:val="0"/>
              </w:rPr>
            </w:pPr>
          </w:p>
          <w:p w:rsidR="00584DA1" w:rsidRDefault="00584DA1">
            <w:pPr>
              <w:rPr>
                <w:i w:val="0"/>
              </w:rPr>
            </w:pPr>
          </w:p>
          <w:p w:rsidR="00584DA1" w:rsidRDefault="00584DA1">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84DA1" w:rsidRDefault="00584DA1">
            <w:pPr>
              <w:rPr>
                <w:i w:val="0"/>
              </w:rPr>
            </w:pPr>
          </w:p>
        </w:tc>
      </w:tr>
      <w:tr w:rsidR="00584DA1">
        <w:trPr>
          <w:trHeight w:val="681"/>
        </w:trPr>
        <w:tc>
          <w:tcPr>
            <w:tcW w:w="4252" w:type="dxa"/>
            <w:tcBorders>
              <w:top w:val="single" w:sz="4" w:space="0" w:color="000000"/>
              <w:left w:val="single" w:sz="4" w:space="0" w:color="000000"/>
              <w:bottom w:val="single" w:sz="4" w:space="0" w:color="000000"/>
            </w:tcBorders>
            <w:shd w:val="clear" w:color="auto" w:fill="auto"/>
          </w:tcPr>
          <w:p w:rsidR="00584DA1" w:rsidRDefault="00584DA1">
            <w:pPr>
              <w:rPr>
                <w:i w:val="0"/>
              </w:rPr>
            </w:pPr>
          </w:p>
          <w:p w:rsidR="00584DA1" w:rsidRDefault="00584DA1">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84DA1" w:rsidRDefault="00584DA1">
            <w:pPr>
              <w:rPr>
                <w:i w:val="0"/>
              </w:rPr>
            </w:pPr>
          </w:p>
        </w:tc>
      </w:tr>
      <w:tr w:rsidR="00584DA1">
        <w:trPr>
          <w:trHeight w:val="681"/>
        </w:trPr>
        <w:tc>
          <w:tcPr>
            <w:tcW w:w="4252" w:type="dxa"/>
            <w:tcBorders>
              <w:top w:val="single" w:sz="4" w:space="0" w:color="000000"/>
              <w:left w:val="single" w:sz="4" w:space="0" w:color="000000"/>
              <w:bottom w:val="single" w:sz="4" w:space="0" w:color="000000"/>
            </w:tcBorders>
            <w:shd w:val="clear" w:color="auto" w:fill="auto"/>
          </w:tcPr>
          <w:p w:rsidR="00584DA1" w:rsidRDefault="00584DA1">
            <w:pPr>
              <w:rPr>
                <w:i w:val="0"/>
              </w:rPr>
            </w:pPr>
          </w:p>
          <w:p w:rsidR="00584DA1" w:rsidRDefault="00584DA1">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84DA1" w:rsidRDefault="00584DA1">
            <w:pPr>
              <w:rPr>
                <w:i w:val="0"/>
              </w:rPr>
            </w:pPr>
          </w:p>
        </w:tc>
      </w:tr>
    </w:tbl>
    <w:p w:rsidR="00584DA1" w:rsidRDefault="00584DA1">
      <w:pPr>
        <w:rPr>
          <w:i w:val="0"/>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584DA1">
      <w:pPr>
        <w:jc w:val="center"/>
        <w:rPr>
          <w:b/>
          <w:i w:val="0"/>
          <w:color w:val="0070C0"/>
          <w:u w:val="single"/>
        </w:rPr>
      </w:pPr>
    </w:p>
    <w:p w:rsidR="00584DA1" w:rsidRDefault="002A35DC">
      <w:pPr>
        <w:jc w:val="center"/>
        <w:rPr>
          <w:b/>
          <w:i w:val="0"/>
          <w:color w:val="0070C0"/>
          <w:u w:val="single"/>
        </w:rPr>
      </w:pPr>
      <w:r>
        <w:br w:type="page"/>
      </w:r>
    </w:p>
    <w:p w:rsidR="00584DA1" w:rsidRDefault="00584DA1">
      <w:pPr>
        <w:pBdr>
          <w:top w:val="nil"/>
          <w:left w:val="nil"/>
          <w:bottom w:val="nil"/>
          <w:right w:val="nil"/>
          <w:between w:val="nil"/>
        </w:pBdr>
        <w:tabs>
          <w:tab w:val="left" w:pos="567"/>
        </w:tabs>
        <w:jc w:val="both"/>
        <w:rPr>
          <w:rFonts w:eastAsia="Arial"/>
          <w:b/>
          <w:color w:val="0070C0"/>
          <w:sz w:val="22"/>
          <w:szCs w:val="22"/>
          <w:u w:val="single"/>
        </w:rPr>
      </w:pPr>
    </w:p>
    <w:p w:rsidR="00584DA1" w:rsidRDefault="00584DA1">
      <w:pPr>
        <w:jc w:val="center"/>
        <w:rPr>
          <w:b/>
          <w:i w:val="0"/>
          <w:color w:val="0070C0"/>
          <w:u w:val="single"/>
        </w:rPr>
      </w:pPr>
    </w:p>
    <w:p w:rsidR="00584DA1" w:rsidRDefault="002A35DC">
      <w:pPr>
        <w:jc w:val="center"/>
        <w:rPr>
          <w:b/>
          <w:i w:val="0"/>
          <w:color w:val="0070C0"/>
          <w:u w:val="single"/>
        </w:rPr>
      </w:pPr>
      <w:r>
        <w:rPr>
          <w:b/>
          <w:i w:val="0"/>
          <w:color w:val="0070C0"/>
          <w:u w:val="single"/>
        </w:rPr>
        <w:t>INDICE DE DOCUMENTOS APORTADOS</w:t>
      </w:r>
    </w:p>
    <w:p w:rsidR="00584DA1" w:rsidRDefault="00584DA1">
      <w:pPr>
        <w:rPr>
          <w:b/>
          <w:i w:val="0"/>
          <w:color w:val="0070C0"/>
          <w:u w:val="single"/>
        </w:rPr>
      </w:pPr>
    </w:p>
    <w:p w:rsidR="00584DA1" w:rsidRDefault="002A35DC">
      <w:pPr>
        <w:jc w:val="center"/>
        <w:rPr>
          <w:b/>
          <w:i w:val="0"/>
          <w:sz w:val="22"/>
          <w:szCs w:val="22"/>
        </w:rPr>
      </w:pPr>
      <w:r>
        <w:rPr>
          <w:b/>
          <w:i w:val="0"/>
          <w:color w:val="0070C0"/>
          <w:u w:val="single"/>
        </w:rPr>
        <w:t>A entregar por las empresas licitadoras</w:t>
      </w:r>
    </w:p>
    <w:p w:rsidR="00584DA1" w:rsidRDefault="00584DA1">
      <w:pPr>
        <w:jc w:val="both"/>
        <w:rPr>
          <w:b/>
          <w:i w:val="0"/>
          <w:sz w:val="22"/>
          <w:szCs w:val="22"/>
        </w:rPr>
      </w:pPr>
    </w:p>
    <w:p w:rsidR="00584DA1" w:rsidRDefault="002A35DC">
      <w:pPr>
        <w:jc w:val="both"/>
        <w:rPr>
          <w:i w:val="0"/>
        </w:rPr>
      </w:pPr>
      <w:r>
        <w:rPr>
          <w:b/>
          <w:i w:val="0"/>
        </w:rPr>
        <w:t>Las empresas licitadoras deberán presentar la siguiente documentación:</w:t>
      </w:r>
      <w:r>
        <w:rPr>
          <w:i w:val="0"/>
        </w:rPr>
        <w:t xml:space="preserve"> </w:t>
      </w:r>
    </w:p>
    <w:p w:rsidR="00584DA1" w:rsidRDefault="00584DA1">
      <w:pPr>
        <w:jc w:val="both"/>
        <w:rPr>
          <w:b/>
          <w:i w:val="0"/>
        </w:rPr>
      </w:pPr>
    </w:p>
    <w:p w:rsidR="00584DA1" w:rsidRDefault="00584DA1">
      <w:pPr>
        <w:rPr>
          <w:b/>
          <w:i w:val="0"/>
          <w:u w:val="single"/>
        </w:rPr>
      </w:pPr>
    </w:p>
    <w:p w:rsidR="00584DA1" w:rsidRDefault="002A35DC">
      <w:pPr>
        <w:numPr>
          <w:ilvl w:val="0"/>
          <w:numId w:val="6"/>
        </w:numPr>
        <w:jc w:val="both"/>
        <w:rPr>
          <w:b/>
          <w:i w:val="0"/>
        </w:rPr>
      </w:pPr>
      <w:r>
        <w:rPr>
          <w:b/>
          <w:i w:val="0"/>
        </w:rPr>
        <w:t>DOCUMENTACIÓN ACREDITATIVA DE LA PERSONALIDAD Y CAPACIDAD JURÍDICA</w:t>
      </w:r>
    </w:p>
    <w:p w:rsidR="00584DA1" w:rsidRDefault="002A35DC">
      <w:pPr>
        <w:ind w:firstLine="708"/>
        <w:jc w:val="both"/>
      </w:pPr>
      <w:r>
        <w:rPr>
          <w:i w:val="0"/>
        </w:rPr>
        <w:t>- D.N.I. o documento  que lo sustituya.</w:t>
      </w:r>
    </w:p>
    <w:p w:rsidR="00584DA1" w:rsidRDefault="002A35DC">
      <w:pPr>
        <w:ind w:left="2124" w:hanging="1416"/>
        <w:jc w:val="both"/>
      </w:pPr>
      <w:r>
        <w:rPr>
          <w:i w:val="0"/>
        </w:rPr>
        <w:t>- Escritura de constitución o modificación, estatutos o acto fundacional.</w:t>
      </w:r>
    </w:p>
    <w:p w:rsidR="00584DA1" w:rsidRDefault="002A35DC">
      <w:pPr>
        <w:ind w:left="2124" w:hanging="1416"/>
        <w:jc w:val="both"/>
      </w:pPr>
      <w:r>
        <w:rPr>
          <w:i w:val="0"/>
        </w:rPr>
        <w:t>- Poder bastante en derecho a favor del representante legal del licitador.</w:t>
      </w:r>
    </w:p>
    <w:p w:rsidR="00584DA1" w:rsidRDefault="002A35DC">
      <w:pPr>
        <w:pBdr>
          <w:top w:val="nil"/>
          <w:left w:val="nil"/>
          <w:bottom w:val="nil"/>
          <w:right w:val="nil"/>
          <w:between w:val="nil"/>
        </w:pBdr>
        <w:ind w:left="2124" w:hanging="1416"/>
        <w:jc w:val="both"/>
        <w:rPr>
          <w:rFonts w:eastAsia="Arial"/>
          <w:i w:val="0"/>
          <w:color w:val="FF0000"/>
        </w:rPr>
      </w:pPr>
      <w:r>
        <w:rPr>
          <w:rFonts w:eastAsia="Arial"/>
          <w:i w:val="0"/>
          <w:color w:val="000000"/>
        </w:rPr>
        <w:t>- Compromiso de constituirse formalmente en unión temporal, en su caso.</w:t>
      </w:r>
    </w:p>
    <w:p w:rsidR="00584DA1" w:rsidRDefault="00584DA1">
      <w:pPr>
        <w:ind w:left="708"/>
        <w:rPr>
          <w:i w:val="0"/>
          <w:color w:val="FF0000"/>
        </w:rPr>
      </w:pPr>
    </w:p>
    <w:p w:rsidR="00584DA1" w:rsidRDefault="002A35DC">
      <w:pPr>
        <w:numPr>
          <w:ilvl w:val="0"/>
          <w:numId w:val="6"/>
        </w:numPr>
        <w:jc w:val="both"/>
        <w:rPr>
          <w:b/>
          <w:i w:val="0"/>
        </w:rPr>
      </w:pPr>
      <w:r>
        <w:rPr>
          <w:b/>
          <w:i w:val="0"/>
        </w:rPr>
        <w:t>Datos identificativos de la empresa participante en la licitación (Anexo II)</w:t>
      </w:r>
    </w:p>
    <w:p w:rsidR="00584DA1" w:rsidRDefault="00584DA1">
      <w:pPr>
        <w:pBdr>
          <w:top w:val="nil"/>
          <w:left w:val="nil"/>
          <w:bottom w:val="nil"/>
          <w:right w:val="nil"/>
          <w:between w:val="nil"/>
        </w:pBdr>
        <w:tabs>
          <w:tab w:val="left" w:pos="567"/>
        </w:tabs>
        <w:jc w:val="both"/>
        <w:rPr>
          <w:rFonts w:eastAsia="Arial"/>
          <w:b/>
          <w:color w:val="000000"/>
        </w:rPr>
      </w:pPr>
    </w:p>
    <w:p w:rsidR="00584DA1" w:rsidRDefault="002A35DC">
      <w:pPr>
        <w:keepNext/>
        <w:numPr>
          <w:ilvl w:val="0"/>
          <w:numId w:val="6"/>
        </w:numPr>
        <w:pBdr>
          <w:top w:val="nil"/>
          <w:left w:val="nil"/>
          <w:bottom w:val="nil"/>
          <w:right w:val="nil"/>
          <w:between w:val="nil"/>
        </w:pBdr>
        <w:rPr>
          <w:rFonts w:eastAsia="Arial"/>
          <w:b/>
          <w:i w:val="0"/>
          <w:color w:val="000000"/>
        </w:rPr>
      </w:pPr>
      <w:r>
        <w:rPr>
          <w:rFonts w:eastAsia="Arial"/>
          <w:b/>
          <w:i w:val="0"/>
          <w:color w:val="000000"/>
        </w:rPr>
        <w:t xml:space="preserve">Declaración Responsable General de la empresa adjudicataria (anexo IV.2)  </w:t>
      </w:r>
    </w:p>
    <w:p w:rsidR="00584DA1" w:rsidRDefault="00584DA1">
      <w:pPr>
        <w:rPr>
          <w:i w:val="0"/>
        </w:rPr>
      </w:pPr>
    </w:p>
    <w:p w:rsidR="00584DA1" w:rsidRDefault="00584DA1">
      <w:pPr>
        <w:rPr>
          <w:i w:val="0"/>
        </w:rPr>
      </w:pPr>
    </w:p>
    <w:p w:rsidR="00584DA1" w:rsidRDefault="00584DA1">
      <w:pPr>
        <w:keepNext/>
        <w:pBdr>
          <w:top w:val="nil"/>
          <w:left w:val="nil"/>
          <w:bottom w:val="nil"/>
          <w:right w:val="nil"/>
          <w:between w:val="nil"/>
        </w:pBdr>
        <w:ind w:left="720"/>
        <w:rPr>
          <w:rFonts w:eastAsia="Arial"/>
          <w:b/>
          <w:color w:val="000000"/>
        </w:rPr>
      </w:pPr>
    </w:p>
    <w:p w:rsidR="00584DA1" w:rsidRDefault="00584DA1">
      <w:pPr>
        <w:pBdr>
          <w:top w:val="nil"/>
          <w:left w:val="nil"/>
          <w:bottom w:val="nil"/>
          <w:right w:val="nil"/>
          <w:between w:val="nil"/>
        </w:pBdr>
        <w:tabs>
          <w:tab w:val="left" w:pos="567"/>
        </w:tabs>
        <w:jc w:val="both"/>
        <w:rPr>
          <w:rFonts w:eastAsia="Arial"/>
          <w:b/>
          <w:i w:val="0"/>
          <w:strike/>
          <w:color w:val="FF0000"/>
          <w:sz w:val="22"/>
          <w:szCs w:val="22"/>
        </w:rPr>
      </w:pPr>
    </w:p>
    <w:p w:rsidR="00584DA1" w:rsidRDefault="00584DA1">
      <w:pPr>
        <w:pBdr>
          <w:top w:val="nil"/>
          <w:left w:val="nil"/>
          <w:bottom w:val="nil"/>
          <w:right w:val="nil"/>
          <w:between w:val="nil"/>
        </w:pBdr>
        <w:tabs>
          <w:tab w:val="left" w:pos="567"/>
        </w:tabs>
        <w:jc w:val="both"/>
        <w:rPr>
          <w:rFonts w:eastAsia="Arial"/>
          <w:b/>
          <w:i w:val="0"/>
          <w:strike/>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b/>
          <w:i w:val="0"/>
          <w:color w:val="000080"/>
          <w:sz w:val="22"/>
          <w:szCs w:val="22"/>
        </w:rPr>
      </w:pPr>
    </w:p>
    <w:p w:rsidR="00584DA1" w:rsidRDefault="00584DA1">
      <w:pPr>
        <w:pBdr>
          <w:top w:val="nil"/>
          <w:left w:val="nil"/>
          <w:bottom w:val="nil"/>
          <w:right w:val="nil"/>
          <w:between w:val="nil"/>
        </w:pBdr>
        <w:tabs>
          <w:tab w:val="left" w:pos="567"/>
        </w:tabs>
        <w:jc w:val="both"/>
        <w:rPr>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tabs>
          <w:tab w:val="left" w:pos="567"/>
        </w:tabs>
        <w:jc w:val="both"/>
        <w:rPr>
          <w:rFonts w:eastAsia="Arial"/>
          <w:b/>
          <w:i w:val="0"/>
          <w:color w:val="000080"/>
          <w:sz w:val="22"/>
          <w:szCs w:val="22"/>
        </w:rPr>
      </w:pPr>
    </w:p>
    <w:p w:rsidR="00584DA1" w:rsidRDefault="00584DA1">
      <w:pPr>
        <w:pBdr>
          <w:top w:val="nil"/>
          <w:left w:val="nil"/>
          <w:bottom w:val="nil"/>
          <w:right w:val="nil"/>
          <w:between w:val="nil"/>
        </w:pBdr>
        <w:jc w:val="both"/>
        <w:rPr>
          <w:rFonts w:eastAsia="Arial"/>
          <w:i w:val="0"/>
          <w:color w:val="000000"/>
        </w:rPr>
      </w:pPr>
      <w:bookmarkStart w:id="7" w:name="bookmark=id.30j0zll" w:colFirst="0" w:colLast="0"/>
      <w:bookmarkEnd w:id="7"/>
    </w:p>
    <w:p w:rsidR="00584DA1" w:rsidRDefault="00584DA1">
      <w:pPr>
        <w:pBdr>
          <w:top w:val="nil"/>
          <w:left w:val="nil"/>
          <w:bottom w:val="nil"/>
          <w:right w:val="nil"/>
          <w:between w:val="nil"/>
        </w:pBdr>
        <w:jc w:val="both"/>
        <w:rPr>
          <w:rFonts w:eastAsia="Arial"/>
          <w:i w:val="0"/>
          <w:color w:val="000000"/>
        </w:rPr>
      </w:pPr>
    </w:p>
    <w:p w:rsidR="00C94026" w:rsidRDefault="00C94026">
      <w:pPr>
        <w:pBdr>
          <w:top w:val="nil"/>
          <w:left w:val="nil"/>
          <w:bottom w:val="nil"/>
          <w:right w:val="nil"/>
          <w:between w:val="nil"/>
        </w:pBdr>
        <w:jc w:val="both"/>
        <w:rPr>
          <w:rFonts w:eastAsia="Arial"/>
          <w:b/>
          <w:i w:val="0"/>
          <w:color w:val="000080"/>
        </w:rPr>
      </w:pPr>
    </w:p>
    <w:tbl>
      <w:tblPr>
        <w:tblStyle w:val="ad"/>
        <w:tblW w:w="9604" w:type="dxa"/>
        <w:tblInd w:w="-216" w:type="dxa"/>
        <w:tblLayout w:type="fixed"/>
        <w:tblLook w:val="0000" w:firstRow="0" w:lastRow="0" w:firstColumn="0" w:lastColumn="0" w:noHBand="0" w:noVBand="0"/>
      </w:tblPr>
      <w:tblGrid>
        <w:gridCol w:w="9604"/>
      </w:tblGrid>
      <w:tr w:rsidR="00584DA1" w:rsidTr="00C94026">
        <w:trPr>
          <w:trHeight w:val="362"/>
        </w:trPr>
        <w:tc>
          <w:tcPr>
            <w:tcW w:w="9604" w:type="dxa"/>
            <w:shd w:val="clear" w:color="auto" w:fill="00B0F0"/>
          </w:tcPr>
          <w:p w:rsidR="00584DA1" w:rsidRDefault="002A35DC">
            <w:pPr>
              <w:pBdr>
                <w:top w:val="nil"/>
                <w:left w:val="nil"/>
                <w:bottom w:val="nil"/>
                <w:right w:val="nil"/>
                <w:between w:val="nil"/>
              </w:pBdr>
              <w:rPr>
                <w:rFonts w:eastAsia="Arial"/>
                <w:b/>
                <w:i w:val="0"/>
                <w:color w:val="FFFFFF"/>
                <w:sz w:val="24"/>
                <w:szCs w:val="24"/>
              </w:rPr>
            </w:pPr>
            <w:bookmarkStart w:id="8" w:name="bookmark=id.1fob9te" w:colFirst="0" w:colLast="0"/>
            <w:bookmarkEnd w:id="8"/>
            <w:r>
              <w:rPr>
                <w:rFonts w:eastAsia="Arial"/>
                <w:b/>
                <w:i w:val="0"/>
                <w:color w:val="FFFFFF"/>
                <w:sz w:val="24"/>
                <w:szCs w:val="24"/>
              </w:rPr>
              <w:lastRenderedPageBreak/>
              <w:t xml:space="preserve">Anexo VI.- Condiciones especiales de ejecución </w:t>
            </w:r>
          </w:p>
        </w:tc>
      </w:tr>
    </w:tbl>
    <w:p w:rsidR="00584DA1" w:rsidRDefault="00584DA1">
      <w:pPr>
        <w:pBdr>
          <w:top w:val="nil"/>
          <w:left w:val="nil"/>
          <w:bottom w:val="nil"/>
          <w:right w:val="nil"/>
          <w:between w:val="nil"/>
        </w:pBdr>
        <w:jc w:val="both"/>
        <w:rPr>
          <w:rFonts w:eastAsia="Arial"/>
          <w:b/>
          <w:i w:val="0"/>
          <w:color w:val="000080"/>
          <w:sz w:val="22"/>
          <w:szCs w:val="22"/>
        </w:rPr>
      </w:pPr>
    </w:p>
    <w:p w:rsidR="00584DA1" w:rsidRDefault="00584DA1">
      <w:pPr>
        <w:pBdr>
          <w:top w:val="nil"/>
          <w:left w:val="nil"/>
          <w:bottom w:val="nil"/>
          <w:right w:val="nil"/>
          <w:between w:val="nil"/>
        </w:pBdr>
        <w:jc w:val="both"/>
        <w:rPr>
          <w:rFonts w:eastAsia="Arial"/>
          <w:b/>
          <w:i w:val="0"/>
          <w:color w:val="000000"/>
          <w:sz w:val="22"/>
          <w:szCs w:val="22"/>
        </w:rPr>
      </w:pPr>
    </w:p>
    <w:p w:rsidR="00333ACE" w:rsidRPr="00333ACE" w:rsidRDefault="00333ACE" w:rsidP="00333ACE">
      <w:pPr>
        <w:jc w:val="both"/>
        <w:rPr>
          <w:rFonts w:ascii="Times New Roman" w:hAnsi="Times New Roman" w:cs="Times New Roman"/>
          <w:i w:val="0"/>
          <w:sz w:val="24"/>
          <w:szCs w:val="24"/>
          <w:lang w:eastAsia="es-ES"/>
        </w:rPr>
      </w:pPr>
      <w:r w:rsidRPr="00333ACE">
        <w:rPr>
          <w:i w:val="0"/>
          <w:color w:val="000000"/>
          <w:sz w:val="22"/>
          <w:szCs w:val="22"/>
          <w:lang w:eastAsia="es-ES"/>
        </w:rPr>
        <w:t>La ejecución del contrato se sujetará a las siguientes condiciones:</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numPr>
          <w:ilvl w:val="0"/>
          <w:numId w:val="10"/>
        </w:numPr>
        <w:jc w:val="both"/>
        <w:textAlignment w:val="baseline"/>
        <w:rPr>
          <w:i w:val="0"/>
          <w:color w:val="222222"/>
          <w:sz w:val="22"/>
          <w:szCs w:val="22"/>
          <w:lang w:eastAsia="es-ES"/>
        </w:rPr>
      </w:pPr>
      <w:r w:rsidRPr="00333ACE">
        <w:rPr>
          <w:i w:val="0"/>
          <w:color w:val="222222"/>
          <w:sz w:val="22"/>
          <w:szCs w:val="22"/>
          <w:lang w:eastAsia="es-ES"/>
        </w:rPr>
        <w:t>La empresa adjudicataria deberá acreditar que tiene implantado en la empresa un sistema de recogida selectiva de residuos y que facilita pautas de actuación a la plantilla. </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ind w:left="1065"/>
        <w:jc w:val="both"/>
        <w:rPr>
          <w:rFonts w:ascii="Times New Roman" w:hAnsi="Times New Roman" w:cs="Times New Roman"/>
          <w:i w:val="0"/>
          <w:sz w:val="24"/>
          <w:szCs w:val="24"/>
          <w:lang w:eastAsia="es-ES"/>
        </w:rPr>
      </w:pPr>
      <w:r w:rsidRPr="00333ACE">
        <w:rPr>
          <w:i w:val="0"/>
          <w:color w:val="222222"/>
          <w:sz w:val="22"/>
          <w:szCs w:val="22"/>
          <w:lang w:eastAsia="es-ES"/>
        </w:rPr>
        <w:t xml:space="preserve">Modo de acreditación: memoria descriptiva del sistema de recogida selectiva de residuos y de las pautas e instrucciones dirigidas a los trabajadores, contratos, albaranes  de compra, </w:t>
      </w:r>
      <w:proofErr w:type="spellStart"/>
      <w:r w:rsidRPr="00333ACE">
        <w:rPr>
          <w:i w:val="0"/>
          <w:color w:val="222222"/>
          <w:sz w:val="22"/>
          <w:szCs w:val="22"/>
          <w:lang w:eastAsia="es-ES"/>
        </w:rPr>
        <w:t>etc</w:t>
      </w:r>
      <w:proofErr w:type="spellEnd"/>
      <w:r w:rsidRPr="00333ACE">
        <w:rPr>
          <w:i w:val="0"/>
          <w:color w:val="222222"/>
          <w:sz w:val="22"/>
          <w:szCs w:val="22"/>
          <w:lang w:eastAsia="es-ES"/>
        </w:rPr>
        <w:t xml:space="preserve"> que acrediten la condición especial de ejecución.</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numPr>
          <w:ilvl w:val="0"/>
          <w:numId w:val="11"/>
        </w:numPr>
        <w:jc w:val="both"/>
        <w:textAlignment w:val="baseline"/>
        <w:rPr>
          <w:i w:val="0"/>
          <w:color w:val="000000"/>
          <w:sz w:val="22"/>
          <w:szCs w:val="22"/>
          <w:lang w:eastAsia="es-ES"/>
        </w:rPr>
      </w:pPr>
      <w:r w:rsidRPr="00333ACE">
        <w:rPr>
          <w:i w:val="0"/>
          <w:color w:val="000000"/>
          <w:sz w:val="22"/>
          <w:szCs w:val="22"/>
          <w:lang w:eastAsia="es-ES"/>
        </w:rPr>
        <w:t>El adjudicatario se someterá a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jc w:val="both"/>
        <w:rPr>
          <w:rFonts w:ascii="Times New Roman" w:hAnsi="Times New Roman" w:cs="Times New Roman"/>
          <w:i w:val="0"/>
          <w:sz w:val="24"/>
          <w:szCs w:val="24"/>
          <w:lang w:eastAsia="es-ES"/>
        </w:rPr>
      </w:pPr>
      <w:r w:rsidRPr="00333ACE">
        <w:rPr>
          <w:i w:val="0"/>
          <w:color w:val="000000"/>
          <w:sz w:val="22"/>
          <w:szCs w:val="22"/>
          <w:lang w:eastAsia="es-ES"/>
        </w:rPr>
        <w:t>El incumplimiento de estas condiciones tiene consideración de:</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numPr>
          <w:ilvl w:val="0"/>
          <w:numId w:val="12"/>
        </w:numPr>
        <w:jc w:val="both"/>
        <w:textAlignment w:val="baseline"/>
        <w:rPr>
          <w:i w:val="0"/>
          <w:color w:val="000000"/>
          <w:sz w:val="22"/>
          <w:szCs w:val="22"/>
          <w:lang w:eastAsia="es-ES"/>
        </w:rPr>
      </w:pPr>
      <w:r w:rsidRPr="00333ACE">
        <w:rPr>
          <w:i w:val="0"/>
          <w:color w:val="000000"/>
          <w:sz w:val="22"/>
          <w:szCs w:val="22"/>
          <w:lang w:eastAsia="es-ES"/>
        </w:rPr>
        <w:t>Causa de resolución del contrato de acuerdo con los artículos 202 y 211.1 LCSP</w:t>
      </w:r>
    </w:p>
    <w:p w:rsidR="00333ACE" w:rsidRPr="00333ACE" w:rsidRDefault="00333ACE" w:rsidP="00333ACE">
      <w:pPr>
        <w:numPr>
          <w:ilvl w:val="0"/>
          <w:numId w:val="12"/>
        </w:numPr>
        <w:jc w:val="both"/>
        <w:textAlignment w:val="baseline"/>
        <w:rPr>
          <w:i w:val="0"/>
          <w:color w:val="000000"/>
          <w:sz w:val="22"/>
          <w:szCs w:val="22"/>
          <w:lang w:eastAsia="es-ES"/>
        </w:rPr>
      </w:pPr>
      <w:r w:rsidRPr="00333ACE">
        <w:rPr>
          <w:i w:val="0"/>
          <w:color w:val="000000"/>
          <w:sz w:val="22"/>
          <w:szCs w:val="22"/>
          <w:lang w:eastAsia="es-ES"/>
        </w:rPr>
        <w:t>Infracción grave de acuerdo con los artículos 202 y 71.1 e) LCSP</w:t>
      </w:r>
    </w:p>
    <w:p w:rsidR="00584DA1" w:rsidRDefault="00584DA1">
      <w:pPr>
        <w:pBdr>
          <w:top w:val="nil"/>
          <w:left w:val="nil"/>
          <w:bottom w:val="nil"/>
          <w:right w:val="nil"/>
          <w:between w:val="nil"/>
        </w:pBdr>
        <w:jc w:val="both"/>
        <w:rPr>
          <w:rFonts w:eastAsia="Arial"/>
          <w:color w:val="000000"/>
          <w:sz w:val="22"/>
          <w:szCs w:val="22"/>
        </w:rPr>
      </w:pPr>
    </w:p>
    <w:p w:rsidR="00584DA1" w:rsidRDefault="00584DA1">
      <w:pPr>
        <w:pBdr>
          <w:top w:val="nil"/>
          <w:left w:val="nil"/>
          <w:bottom w:val="nil"/>
          <w:right w:val="nil"/>
          <w:between w:val="nil"/>
        </w:pBdr>
        <w:jc w:val="both"/>
        <w:rPr>
          <w:rFonts w:eastAsia="Arial"/>
          <w:color w:val="000000"/>
          <w:sz w:val="22"/>
          <w:szCs w:val="22"/>
        </w:rPr>
      </w:pPr>
    </w:p>
    <w:p w:rsidR="00584DA1" w:rsidRDefault="00584DA1">
      <w:pPr>
        <w:pBdr>
          <w:top w:val="nil"/>
          <w:left w:val="nil"/>
          <w:bottom w:val="nil"/>
          <w:right w:val="nil"/>
          <w:between w:val="nil"/>
        </w:pBdr>
        <w:jc w:val="both"/>
        <w:rPr>
          <w:rFonts w:eastAsia="Arial"/>
          <w:color w:val="000000"/>
          <w:sz w:val="22"/>
          <w:szCs w:val="22"/>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B06ADC" w:rsidRDefault="00B06ADC">
      <w:pPr>
        <w:pBdr>
          <w:top w:val="nil"/>
          <w:left w:val="nil"/>
          <w:bottom w:val="nil"/>
          <w:right w:val="nil"/>
          <w:between w:val="nil"/>
        </w:pBdr>
        <w:jc w:val="both"/>
        <w:rPr>
          <w:rFonts w:eastAsia="Arial"/>
          <w:color w:val="000000"/>
          <w:sz w:val="18"/>
          <w:szCs w:val="18"/>
        </w:rPr>
      </w:pPr>
    </w:p>
    <w:p w:rsidR="00B06ADC" w:rsidRDefault="00B06ADC">
      <w:pPr>
        <w:pBdr>
          <w:top w:val="nil"/>
          <w:left w:val="nil"/>
          <w:bottom w:val="nil"/>
          <w:right w:val="nil"/>
          <w:between w:val="nil"/>
        </w:pBdr>
        <w:jc w:val="both"/>
        <w:rPr>
          <w:rFonts w:eastAsia="Arial"/>
          <w:color w:val="000000"/>
          <w:sz w:val="18"/>
          <w:szCs w:val="18"/>
        </w:rPr>
      </w:pPr>
    </w:p>
    <w:p w:rsidR="00B06ADC" w:rsidRDefault="00B06ADC">
      <w:pPr>
        <w:pBdr>
          <w:top w:val="nil"/>
          <w:left w:val="nil"/>
          <w:bottom w:val="nil"/>
          <w:right w:val="nil"/>
          <w:between w:val="nil"/>
        </w:pBdr>
        <w:jc w:val="both"/>
        <w:rPr>
          <w:rFonts w:eastAsia="Arial"/>
          <w:color w:val="000000"/>
          <w:sz w:val="18"/>
          <w:szCs w:val="18"/>
        </w:rPr>
      </w:pPr>
    </w:p>
    <w:p w:rsidR="00B06ADC" w:rsidRDefault="00B06ADC">
      <w:pPr>
        <w:pBdr>
          <w:top w:val="nil"/>
          <w:left w:val="nil"/>
          <w:bottom w:val="nil"/>
          <w:right w:val="nil"/>
          <w:between w:val="nil"/>
        </w:pBdr>
        <w:jc w:val="both"/>
        <w:rPr>
          <w:rFonts w:eastAsia="Arial"/>
          <w:color w:val="000000"/>
          <w:sz w:val="18"/>
          <w:szCs w:val="18"/>
        </w:rPr>
      </w:pPr>
    </w:p>
    <w:tbl>
      <w:tblPr>
        <w:tblStyle w:val="ae"/>
        <w:tblW w:w="9490" w:type="dxa"/>
        <w:tblInd w:w="-216" w:type="dxa"/>
        <w:tblLayout w:type="fixed"/>
        <w:tblLook w:val="0000" w:firstRow="0" w:lastRow="0" w:firstColumn="0" w:lastColumn="0" w:noHBand="0" w:noVBand="0"/>
      </w:tblPr>
      <w:tblGrid>
        <w:gridCol w:w="9490"/>
      </w:tblGrid>
      <w:tr w:rsidR="00584DA1" w:rsidTr="00C94026">
        <w:trPr>
          <w:trHeight w:val="348"/>
        </w:trPr>
        <w:tc>
          <w:tcPr>
            <w:tcW w:w="9490" w:type="dxa"/>
            <w:shd w:val="clear" w:color="auto" w:fill="00B0F0"/>
          </w:tcPr>
          <w:p w:rsidR="00584DA1" w:rsidRDefault="002A35DC">
            <w:pPr>
              <w:pBdr>
                <w:top w:val="nil"/>
                <w:left w:val="nil"/>
                <w:bottom w:val="nil"/>
                <w:right w:val="nil"/>
                <w:between w:val="nil"/>
              </w:pBdr>
              <w:jc w:val="both"/>
              <w:rPr>
                <w:rFonts w:eastAsia="Arial"/>
                <w:b/>
                <w:i w:val="0"/>
                <w:color w:val="FFFFFF"/>
                <w:sz w:val="24"/>
                <w:szCs w:val="24"/>
              </w:rPr>
            </w:pPr>
            <w:bookmarkStart w:id="9" w:name="bookmark=id.3znysh7" w:colFirst="0" w:colLast="0"/>
            <w:bookmarkEnd w:id="9"/>
            <w:r>
              <w:rPr>
                <w:rFonts w:eastAsia="Arial"/>
                <w:b/>
                <w:i w:val="0"/>
                <w:color w:val="FFFFFF"/>
                <w:sz w:val="24"/>
                <w:szCs w:val="24"/>
              </w:rPr>
              <w:lastRenderedPageBreak/>
              <w:t xml:space="preserve">Anexo VII.- Documento Europeo Único de Contratación  </w:t>
            </w:r>
          </w:p>
        </w:tc>
      </w:tr>
    </w:tbl>
    <w:p w:rsidR="00584DA1" w:rsidRDefault="00584DA1">
      <w:pPr>
        <w:pBdr>
          <w:top w:val="nil"/>
          <w:left w:val="nil"/>
          <w:bottom w:val="nil"/>
          <w:right w:val="nil"/>
          <w:between w:val="nil"/>
        </w:pBdr>
        <w:jc w:val="both"/>
        <w:rPr>
          <w:rFonts w:eastAsia="Arial"/>
          <w:b/>
          <w:i w:val="0"/>
          <w:color w:val="000080"/>
          <w:sz w:val="22"/>
          <w:szCs w:val="22"/>
        </w:rPr>
      </w:pPr>
    </w:p>
    <w:p w:rsidR="00584DA1" w:rsidRDefault="00584DA1">
      <w:pPr>
        <w:pBdr>
          <w:top w:val="nil"/>
          <w:left w:val="nil"/>
          <w:bottom w:val="nil"/>
          <w:right w:val="nil"/>
          <w:between w:val="nil"/>
        </w:pBdr>
        <w:jc w:val="both"/>
        <w:rPr>
          <w:rFonts w:eastAsia="Arial"/>
          <w:b/>
          <w:color w:val="000080"/>
          <w:sz w:val="18"/>
          <w:szCs w:val="18"/>
        </w:rPr>
      </w:pPr>
    </w:p>
    <w:p w:rsidR="00584DA1" w:rsidRDefault="002A35DC">
      <w:pPr>
        <w:pBdr>
          <w:top w:val="nil"/>
          <w:left w:val="nil"/>
          <w:bottom w:val="nil"/>
          <w:right w:val="nil"/>
          <w:between w:val="nil"/>
        </w:pBdr>
        <w:shd w:val="clear" w:color="auto" w:fill="FFFFFF"/>
        <w:ind w:left="-2" w:hanging="2"/>
        <w:jc w:val="both"/>
        <w:rPr>
          <w:rFonts w:eastAsia="Arial"/>
          <w:i w:val="0"/>
          <w:color w:val="000000"/>
          <w:sz w:val="22"/>
          <w:szCs w:val="22"/>
        </w:rPr>
      </w:pPr>
      <w:r>
        <w:rPr>
          <w:rFonts w:eastAsia="Arial"/>
          <w:i w:val="0"/>
          <w:color w:val="000000"/>
          <w:sz w:val="22"/>
          <w:szCs w:val="22"/>
        </w:rPr>
        <w:t>Para poder cumplimentar la declaración responsable deberá descargarse el archivo publicado en la ficha de la licitación de la Plataforma de Contratación del Sector Público. </w:t>
      </w: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p w:rsidR="00584DA1" w:rsidRDefault="00584DA1">
      <w:pPr>
        <w:pBdr>
          <w:top w:val="nil"/>
          <w:left w:val="nil"/>
          <w:bottom w:val="nil"/>
          <w:right w:val="nil"/>
          <w:between w:val="nil"/>
        </w:pBdr>
        <w:jc w:val="both"/>
        <w:rPr>
          <w:rFonts w:eastAsia="Arial"/>
          <w:color w:val="000000"/>
          <w:sz w:val="18"/>
          <w:szCs w:val="18"/>
        </w:rPr>
      </w:pPr>
    </w:p>
    <w:tbl>
      <w:tblPr>
        <w:tblStyle w:val="af"/>
        <w:tblW w:w="9579" w:type="dxa"/>
        <w:tblInd w:w="-216" w:type="dxa"/>
        <w:tblLayout w:type="fixed"/>
        <w:tblLook w:val="0000" w:firstRow="0" w:lastRow="0" w:firstColumn="0" w:lastColumn="0" w:noHBand="0" w:noVBand="0"/>
      </w:tblPr>
      <w:tblGrid>
        <w:gridCol w:w="9579"/>
      </w:tblGrid>
      <w:tr w:rsidR="00584DA1" w:rsidTr="00C94026">
        <w:trPr>
          <w:trHeight w:val="386"/>
        </w:trPr>
        <w:tc>
          <w:tcPr>
            <w:tcW w:w="9579" w:type="dxa"/>
            <w:shd w:val="clear" w:color="auto" w:fill="00B0F0"/>
          </w:tcPr>
          <w:p w:rsidR="00584DA1" w:rsidRDefault="002A35DC">
            <w:pPr>
              <w:pBdr>
                <w:top w:val="nil"/>
                <w:left w:val="nil"/>
                <w:bottom w:val="nil"/>
                <w:right w:val="nil"/>
                <w:between w:val="nil"/>
              </w:pBdr>
              <w:jc w:val="both"/>
              <w:rPr>
                <w:rFonts w:eastAsia="Arial"/>
                <w:b/>
                <w:i w:val="0"/>
                <w:color w:val="FFFFFF"/>
                <w:sz w:val="24"/>
                <w:szCs w:val="24"/>
              </w:rPr>
            </w:pPr>
            <w:bookmarkStart w:id="10" w:name="bookmark=id.2et92p0" w:colFirst="0" w:colLast="0"/>
            <w:bookmarkEnd w:id="10"/>
            <w:r>
              <w:rPr>
                <w:rFonts w:eastAsia="Arial"/>
                <w:b/>
                <w:i w:val="0"/>
                <w:color w:val="FFFFFF"/>
                <w:sz w:val="24"/>
                <w:szCs w:val="24"/>
              </w:rPr>
              <w:lastRenderedPageBreak/>
              <w:t xml:space="preserve">Anexo VIII.- Penalidades   </w:t>
            </w:r>
          </w:p>
        </w:tc>
      </w:tr>
    </w:tbl>
    <w:p w:rsidR="00584DA1" w:rsidRDefault="00584DA1">
      <w:pPr>
        <w:pBdr>
          <w:top w:val="nil"/>
          <w:left w:val="nil"/>
          <w:bottom w:val="nil"/>
          <w:right w:val="nil"/>
          <w:between w:val="nil"/>
        </w:pBdr>
        <w:jc w:val="both"/>
        <w:rPr>
          <w:rFonts w:eastAsia="Arial"/>
          <w:b/>
          <w:i w:val="0"/>
          <w:color w:val="000080"/>
          <w:sz w:val="22"/>
          <w:szCs w:val="22"/>
        </w:rPr>
      </w:pP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rPr>
          <w:rFonts w:ascii="Times New Roman" w:hAnsi="Times New Roman" w:cs="Times New Roman"/>
          <w:i w:val="0"/>
          <w:sz w:val="24"/>
          <w:szCs w:val="24"/>
          <w:lang w:eastAsia="es-ES"/>
        </w:rPr>
      </w:pPr>
      <w:r w:rsidRPr="00333ACE">
        <w:rPr>
          <w:b/>
          <w:bCs/>
          <w:i w:val="0"/>
          <w:color w:val="000000"/>
          <w:sz w:val="22"/>
          <w:szCs w:val="22"/>
          <w:lang w:eastAsia="es-ES"/>
        </w:rPr>
        <w:t>RÉGIMEN POTESTATIVO DE PENALIDADES</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rPr>
          <w:rFonts w:ascii="Times New Roman" w:hAnsi="Times New Roman" w:cs="Times New Roman"/>
          <w:i w:val="0"/>
          <w:sz w:val="24"/>
          <w:szCs w:val="24"/>
          <w:lang w:eastAsia="es-ES"/>
        </w:rPr>
      </w:pPr>
      <w:r w:rsidRPr="00333ACE">
        <w:rPr>
          <w:rFonts w:ascii="MS Gothic" w:eastAsia="MS Gothic" w:hAnsi="MS Gothic" w:cs="MS Gothic" w:hint="eastAsia"/>
          <w:i w:val="0"/>
          <w:color w:val="000000"/>
          <w:sz w:val="22"/>
          <w:szCs w:val="22"/>
          <w:lang w:eastAsia="es-ES"/>
        </w:rPr>
        <w:t>☒</w:t>
      </w:r>
      <w:r w:rsidRPr="00333ACE">
        <w:rPr>
          <w:i w:val="0"/>
          <w:color w:val="000000"/>
          <w:sz w:val="22"/>
          <w:szCs w:val="22"/>
          <w:lang w:eastAsia="es-ES"/>
        </w:rPr>
        <w:t xml:space="preserve"> Penalidades por incumplimiento de plazos (artículo 193.1 LCSP)</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rPr>
          <w:rFonts w:ascii="Times New Roman" w:hAnsi="Times New Roman" w:cs="Times New Roman"/>
          <w:i w:val="0"/>
          <w:sz w:val="24"/>
          <w:szCs w:val="24"/>
          <w:lang w:eastAsia="es-ES"/>
        </w:rPr>
      </w:pPr>
      <w:r w:rsidRPr="00333ACE">
        <w:rPr>
          <w:rFonts w:ascii="MS Gothic" w:eastAsia="MS Gothic" w:hAnsi="MS Gothic" w:cs="MS Gothic" w:hint="eastAsia"/>
          <w:i w:val="0"/>
          <w:color w:val="000000"/>
          <w:sz w:val="22"/>
          <w:szCs w:val="22"/>
          <w:lang w:eastAsia="es-ES"/>
        </w:rPr>
        <w:t>☒</w:t>
      </w:r>
      <w:r w:rsidRPr="00333ACE">
        <w:rPr>
          <w:i w:val="0"/>
          <w:color w:val="000000"/>
          <w:sz w:val="22"/>
          <w:szCs w:val="22"/>
          <w:lang w:eastAsia="es-ES"/>
        </w:rPr>
        <w:t xml:space="preserve"> Cumplimiento defectuoso de la prestación objeto del contrato (artículo 192.1 LCSP)</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rPr>
          <w:rFonts w:ascii="Times New Roman" w:hAnsi="Times New Roman" w:cs="Times New Roman"/>
          <w:i w:val="0"/>
          <w:sz w:val="24"/>
          <w:szCs w:val="24"/>
          <w:lang w:eastAsia="es-ES"/>
        </w:rPr>
      </w:pPr>
      <w:r w:rsidRPr="00333ACE">
        <w:rPr>
          <w:rFonts w:ascii="MS Gothic" w:eastAsia="MS Gothic" w:hAnsi="MS Gothic" w:cs="MS Gothic" w:hint="eastAsia"/>
          <w:i w:val="0"/>
          <w:color w:val="000000"/>
          <w:sz w:val="22"/>
          <w:szCs w:val="22"/>
          <w:lang w:eastAsia="es-ES"/>
        </w:rPr>
        <w:t>☒</w:t>
      </w:r>
      <w:r w:rsidRPr="00333ACE">
        <w:rPr>
          <w:i w:val="0"/>
          <w:color w:val="000000"/>
          <w:sz w:val="22"/>
          <w:szCs w:val="22"/>
          <w:lang w:eastAsia="es-ES"/>
        </w:rPr>
        <w:t xml:space="preserve"> Incumplimiento de los compromisos de adscripción de medios (artículo 76.2 LCSP)</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rPr>
          <w:rFonts w:ascii="Times New Roman" w:hAnsi="Times New Roman" w:cs="Times New Roman"/>
          <w:i w:val="0"/>
          <w:sz w:val="24"/>
          <w:szCs w:val="24"/>
          <w:lang w:eastAsia="es-ES"/>
        </w:rPr>
      </w:pPr>
      <w:r w:rsidRPr="00333ACE">
        <w:rPr>
          <w:rFonts w:ascii="MS Gothic" w:eastAsia="MS Gothic" w:hAnsi="MS Gothic" w:cs="MS Gothic" w:hint="eastAsia"/>
          <w:i w:val="0"/>
          <w:color w:val="000000"/>
          <w:sz w:val="22"/>
          <w:szCs w:val="22"/>
          <w:lang w:eastAsia="es-ES"/>
        </w:rPr>
        <w:t>☒</w:t>
      </w:r>
      <w:r w:rsidRPr="00333ACE">
        <w:rPr>
          <w:i w:val="0"/>
          <w:color w:val="000000"/>
          <w:sz w:val="22"/>
          <w:szCs w:val="22"/>
          <w:lang w:eastAsia="es-ES"/>
        </w:rPr>
        <w:t xml:space="preserve"> Incumplimiento de las condiciones especiales de ejecución del contrato (artículo 202 LCSP)</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rPr>
          <w:rFonts w:ascii="Times New Roman" w:hAnsi="Times New Roman" w:cs="Times New Roman"/>
          <w:i w:val="0"/>
          <w:sz w:val="24"/>
          <w:szCs w:val="24"/>
          <w:lang w:eastAsia="es-ES"/>
        </w:rPr>
      </w:pPr>
      <w:r w:rsidRPr="00333ACE">
        <w:rPr>
          <w:rFonts w:ascii="MS Gothic" w:eastAsia="MS Gothic" w:hAnsi="MS Gothic" w:cs="MS Gothic" w:hint="eastAsia"/>
          <w:i w:val="0"/>
          <w:color w:val="000000"/>
          <w:sz w:val="22"/>
          <w:szCs w:val="22"/>
          <w:lang w:eastAsia="es-ES"/>
        </w:rPr>
        <w:t>☒</w:t>
      </w:r>
      <w:r w:rsidRPr="00333ACE">
        <w:rPr>
          <w:i w:val="0"/>
          <w:color w:val="000000"/>
          <w:sz w:val="22"/>
          <w:szCs w:val="22"/>
          <w:lang w:eastAsia="es-ES"/>
        </w:rPr>
        <w:t xml:space="preserve"> Incumplimiento de características de la oferta vinculadas a los criterios de adjudicación (artículo145 LCSP)</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rPr>
          <w:rFonts w:ascii="Times New Roman" w:hAnsi="Times New Roman" w:cs="Times New Roman"/>
          <w:i w:val="0"/>
          <w:sz w:val="24"/>
          <w:szCs w:val="24"/>
          <w:lang w:eastAsia="es-ES"/>
        </w:rPr>
      </w:pPr>
      <w:r w:rsidRPr="00333ACE">
        <w:rPr>
          <w:rFonts w:ascii="MS Gothic" w:eastAsia="MS Gothic" w:hAnsi="MS Gothic" w:cs="MS Gothic" w:hint="eastAsia"/>
          <w:i w:val="0"/>
          <w:color w:val="000000"/>
          <w:sz w:val="22"/>
          <w:szCs w:val="22"/>
          <w:lang w:eastAsia="es-ES"/>
        </w:rPr>
        <w:t>☒</w:t>
      </w:r>
      <w:r w:rsidRPr="00333ACE">
        <w:rPr>
          <w:i w:val="0"/>
          <w:color w:val="000000"/>
          <w:sz w:val="22"/>
          <w:szCs w:val="22"/>
          <w:lang w:eastAsia="es-ES"/>
        </w:rPr>
        <w:t xml:space="preserve"> </w:t>
      </w:r>
      <w:r w:rsidRPr="00333ACE">
        <w:rPr>
          <w:b/>
          <w:bCs/>
          <w:i w:val="0"/>
          <w:color w:val="000000"/>
          <w:sz w:val="22"/>
          <w:szCs w:val="22"/>
          <w:lang w:eastAsia="es-ES"/>
        </w:rPr>
        <w:t>Otras Penalidades:</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rPr>
          <w:rFonts w:ascii="Times New Roman" w:hAnsi="Times New Roman" w:cs="Times New Roman"/>
          <w:i w:val="0"/>
          <w:sz w:val="24"/>
          <w:szCs w:val="24"/>
          <w:lang w:eastAsia="es-ES"/>
        </w:rPr>
      </w:pPr>
      <w:r w:rsidRPr="00333ACE">
        <w:rPr>
          <w:b/>
          <w:bCs/>
          <w:i w:val="0"/>
          <w:color w:val="000000"/>
          <w:sz w:val="22"/>
          <w:szCs w:val="22"/>
          <w:lang w:eastAsia="es-ES"/>
        </w:rPr>
        <w:t>Además de las previstas en este Anexo y en el pliego de cláusulas administrativas particulares, se aplicarán las siguientes penalidades: </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jc w:val="both"/>
        <w:rPr>
          <w:rFonts w:ascii="Times New Roman" w:hAnsi="Times New Roman" w:cs="Times New Roman"/>
          <w:i w:val="0"/>
          <w:sz w:val="24"/>
          <w:szCs w:val="24"/>
          <w:lang w:eastAsia="es-ES"/>
        </w:rPr>
      </w:pPr>
      <w:r w:rsidRPr="00333ACE">
        <w:rPr>
          <w:i w:val="0"/>
          <w:color w:val="222222"/>
          <w:sz w:val="22"/>
          <w:szCs w:val="22"/>
          <w:lang w:eastAsia="es-ES"/>
        </w:rPr>
        <w:t>La/s empresa/s adjudicatarias/s podrá/n incurrir en las siguientes penalidades: </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jc w:val="both"/>
        <w:rPr>
          <w:rFonts w:ascii="Times New Roman" w:hAnsi="Times New Roman" w:cs="Times New Roman"/>
          <w:i w:val="0"/>
          <w:sz w:val="24"/>
          <w:szCs w:val="24"/>
          <w:lang w:eastAsia="es-ES"/>
        </w:rPr>
      </w:pPr>
      <w:r w:rsidRPr="00333ACE">
        <w:rPr>
          <w:i w:val="0"/>
          <w:color w:val="222222"/>
          <w:sz w:val="22"/>
          <w:szCs w:val="22"/>
          <w:lang w:eastAsia="es-ES"/>
        </w:rPr>
        <w:t>Faltas leves.</w:t>
      </w:r>
    </w:p>
    <w:p w:rsidR="00333ACE" w:rsidRPr="00333ACE" w:rsidRDefault="00333ACE" w:rsidP="00333ACE">
      <w:pPr>
        <w:numPr>
          <w:ilvl w:val="0"/>
          <w:numId w:val="13"/>
        </w:numPr>
        <w:jc w:val="both"/>
        <w:textAlignment w:val="baseline"/>
        <w:rPr>
          <w:i w:val="0"/>
          <w:color w:val="000000"/>
          <w:sz w:val="22"/>
          <w:szCs w:val="22"/>
          <w:lang w:eastAsia="es-ES"/>
        </w:rPr>
      </w:pPr>
      <w:r w:rsidRPr="00333ACE">
        <w:rPr>
          <w:i w:val="0"/>
          <w:color w:val="222222"/>
          <w:sz w:val="22"/>
          <w:szCs w:val="22"/>
          <w:lang w:eastAsia="es-ES"/>
        </w:rPr>
        <w:t xml:space="preserve">No disponer de los medios y productos requeridos en el Pliego Técnico que representen una discontinuidad en el suministro </w:t>
      </w:r>
      <w:r w:rsidRPr="00BD7862">
        <w:rPr>
          <w:i w:val="0"/>
          <w:sz w:val="22"/>
          <w:szCs w:val="22"/>
          <w:lang w:eastAsia="es-ES"/>
        </w:rPr>
        <w:t xml:space="preserve">superior a 72 horas </w:t>
      </w:r>
      <w:r w:rsidRPr="00333ACE">
        <w:rPr>
          <w:i w:val="0"/>
          <w:color w:val="222222"/>
          <w:sz w:val="22"/>
          <w:szCs w:val="22"/>
          <w:lang w:eastAsia="es-ES"/>
        </w:rPr>
        <w:t>hábiles.</w:t>
      </w:r>
    </w:p>
    <w:p w:rsidR="00333ACE" w:rsidRPr="00333ACE" w:rsidRDefault="00333ACE" w:rsidP="00333ACE">
      <w:pPr>
        <w:numPr>
          <w:ilvl w:val="0"/>
          <w:numId w:val="13"/>
        </w:numPr>
        <w:jc w:val="both"/>
        <w:textAlignment w:val="baseline"/>
        <w:rPr>
          <w:i w:val="0"/>
          <w:sz w:val="22"/>
          <w:szCs w:val="22"/>
          <w:lang w:eastAsia="es-ES"/>
        </w:rPr>
      </w:pPr>
      <w:r w:rsidRPr="00333ACE">
        <w:rPr>
          <w:i w:val="0"/>
          <w:sz w:val="22"/>
          <w:szCs w:val="22"/>
          <w:lang w:eastAsia="es-ES"/>
        </w:rPr>
        <w:t>Incumplimiento del plazo para la entrega de la información mediante base de datos: No proporcionar la primera semana del trimestre vencido la información de consumo informatizada</w:t>
      </w:r>
      <w:r w:rsidR="00BD7862">
        <w:rPr>
          <w:i w:val="0"/>
          <w:sz w:val="22"/>
          <w:szCs w:val="22"/>
          <w:lang w:eastAsia="es-ES"/>
        </w:rPr>
        <w:t>.</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jc w:val="both"/>
        <w:rPr>
          <w:rFonts w:ascii="Times New Roman" w:hAnsi="Times New Roman" w:cs="Times New Roman"/>
          <w:i w:val="0"/>
          <w:sz w:val="24"/>
          <w:szCs w:val="24"/>
          <w:lang w:eastAsia="es-ES"/>
        </w:rPr>
      </w:pPr>
      <w:r w:rsidRPr="00333ACE">
        <w:rPr>
          <w:i w:val="0"/>
          <w:color w:val="222222"/>
          <w:sz w:val="22"/>
          <w:szCs w:val="22"/>
          <w:lang w:eastAsia="es-ES"/>
        </w:rPr>
        <w:t>Faltas graves.</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numPr>
          <w:ilvl w:val="0"/>
          <w:numId w:val="14"/>
        </w:numPr>
        <w:jc w:val="both"/>
        <w:textAlignment w:val="baseline"/>
        <w:rPr>
          <w:i w:val="0"/>
          <w:color w:val="222222"/>
          <w:sz w:val="22"/>
          <w:szCs w:val="22"/>
          <w:lang w:eastAsia="es-ES"/>
        </w:rPr>
      </w:pPr>
      <w:r w:rsidRPr="00333ACE">
        <w:rPr>
          <w:i w:val="0"/>
          <w:color w:val="222222"/>
          <w:sz w:val="22"/>
          <w:szCs w:val="22"/>
          <w:lang w:eastAsia="es-ES"/>
        </w:rPr>
        <w:t>No disponer reiteradamente de los medios y productos requeridos en el Pliego Técnico que representen una discontinuidad en el suministro superior a 10 días hábiles: 2 veces en un año natural.</w:t>
      </w:r>
    </w:p>
    <w:p w:rsidR="00333ACE" w:rsidRPr="00333ACE" w:rsidRDefault="00333ACE" w:rsidP="00333ACE">
      <w:pPr>
        <w:numPr>
          <w:ilvl w:val="0"/>
          <w:numId w:val="14"/>
        </w:numPr>
        <w:jc w:val="both"/>
        <w:textAlignment w:val="baseline"/>
        <w:rPr>
          <w:i w:val="0"/>
          <w:color w:val="222222"/>
          <w:sz w:val="22"/>
          <w:szCs w:val="22"/>
          <w:lang w:eastAsia="es-ES"/>
        </w:rPr>
      </w:pPr>
      <w:r w:rsidRPr="00333ACE">
        <w:rPr>
          <w:i w:val="0"/>
          <w:color w:val="222222"/>
          <w:sz w:val="22"/>
          <w:szCs w:val="22"/>
          <w:lang w:eastAsia="es-ES"/>
        </w:rPr>
        <w:t>No atender las consultas sobre el material adjudicado o no dar soporte técnico durante la vigencia del contrato.</w:t>
      </w:r>
    </w:p>
    <w:p w:rsidR="00333ACE" w:rsidRPr="00333ACE" w:rsidRDefault="00333ACE" w:rsidP="00333ACE">
      <w:pPr>
        <w:numPr>
          <w:ilvl w:val="0"/>
          <w:numId w:val="14"/>
        </w:numPr>
        <w:jc w:val="both"/>
        <w:textAlignment w:val="baseline"/>
        <w:rPr>
          <w:i w:val="0"/>
          <w:sz w:val="22"/>
          <w:szCs w:val="22"/>
          <w:lang w:eastAsia="es-ES"/>
        </w:rPr>
      </w:pPr>
      <w:r w:rsidRPr="00333ACE">
        <w:rPr>
          <w:i w:val="0"/>
          <w:sz w:val="22"/>
          <w:szCs w:val="22"/>
          <w:lang w:eastAsia="es-ES"/>
        </w:rPr>
        <w:t>Incumplimiento reiterado del plazo para la entrega de la información mediante base de datos: No proporcionar a primera semana del trimestre vencido la información de consumo informatizada 2 veces en un año natural.</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jc w:val="both"/>
        <w:rPr>
          <w:rFonts w:ascii="Times New Roman" w:hAnsi="Times New Roman" w:cs="Times New Roman"/>
          <w:i w:val="0"/>
          <w:sz w:val="24"/>
          <w:szCs w:val="24"/>
          <w:lang w:eastAsia="es-ES"/>
        </w:rPr>
      </w:pPr>
      <w:r w:rsidRPr="00333ACE">
        <w:rPr>
          <w:i w:val="0"/>
          <w:sz w:val="22"/>
          <w:szCs w:val="22"/>
          <w:lang w:eastAsia="es-ES"/>
        </w:rPr>
        <w:t>Las penalidades a aplicar en función de la falta cometida serán:</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jc w:val="both"/>
        <w:rPr>
          <w:rFonts w:ascii="Times New Roman" w:hAnsi="Times New Roman" w:cs="Times New Roman"/>
          <w:i w:val="0"/>
          <w:sz w:val="24"/>
          <w:szCs w:val="24"/>
          <w:lang w:eastAsia="es-ES"/>
        </w:rPr>
      </w:pPr>
      <w:r w:rsidRPr="00333ACE">
        <w:rPr>
          <w:i w:val="0"/>
          <w:sz w:val="22"/>
          <w:szCs w:val="22"/>
          <w:lang w:eastAsia="es-ES"/>
        </w:rPr>
        <w:t>Faltas leves.</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numPr>
          <w:ilvl w:val="0"/>
          <w:numId w:val="15"/>
        </w:numPr>
        <w:jc w:val="both"/>
        <w:textAlignment w:val="baseline"/>
        <w:rPr>
          <w:i w:val="0"/>
          <w:sz w:val="22"/>
          <w:szCs w:val="22"/>
          <w:lang w:eastAsia="es-ES"/>
        </w:rPr>
      </w:pPr>
      <w:r w:rsidRPr="00333ACE">
        <w:rPr>
          <w:i w:val="0"/>
          <w:sz w:val="22"/>
          <w:szCs w:val="22"/>
          <w:lang w:eastAsia="es-ES"/>
        </w:rPr>
        <w:t>Se aplicará una penalidad por infracción equivalente al 25% del valor del importe de los productos no suministrados siendo el mínimo de 150 € por penalidad.</w:t>
      </w:r>
    </w:p>
    <w:p w:rsidR="00333ACE" w:rsidRPr="00333ACE" w:rsidRDefault="00333ACE" w:rsidP="00333ACE">
      <w:pPr>
        <w:numPr>
          <w:ilvl w:val="0"/>
          <w:numId w:val="15"/>
        </w:numPr>
        <w:jc w:val="both"/>
        <w:textAlignment w:val="baseline"/>
        <w:rPr>
          <w:i w:val="0"/>
          <w:sz w:val="22"/>
          <w:szCs w:val="22"/>
          <w:lang w:eastAsia="es-ES"/>
        </w:rPr>
      </w:pPr>
      <w:r w:rsidRPr="00333ACE">
        <w:rPr>
          <w:i w:val="0"/>
          <w:sz w:val="22"/>
          <w:szCs w:val="22"/>
          <w:lang w:eastAsia="es-ES"/>
        </w:rPr>
        <w:t xml:space="preserve">Incumplimiento del plazo para la entrega de la información de consumo mediante base de datos: 25% del importe de la última factura abonada por </w:t>
      </w:r>
      <w:proofErr w:type="spellStart"/>
      <w:r w:rsidRPr="00333ACE">
        <w:rPr>
          <w:i w:val="0"/>
          <w:sz w:val="22"/>
          <w:szCs w:val="22"/>
          <w:lang w:eastAsia="es-ES"/>
        </w:rPr>
        <w:t>Asepeyo</w:t>
      </w:r>
      <w:proofErr w:type="spellEnd"/>
      <w:r w:rsidRPr="00333ACE">
        <w:rPr>
          <w:i w:val="0"/>
          <w:sz w:val="22"/>
          <w:szCs w:val="22"/>
          <w:lang w:eastAsia="es-ES"/>
        </w:rPr>
        <w:t xml:space="preserve"> en el mes anterior. </w:t>
      </w:r>
    </w:p>
    <w:p w:rsidR="00333ACE" w:rsidRDefault="00333ACE" w:rsidP="00333ACE">
      <w:pPr>
        <w:spacing w:after="240"/>
        <w:rPr>
          <w:rFonts w:ascii="Times New Roman" w:hAnsi="Times New Roman" w:cs="Times New Roman"/>
          <w:i w:val="0"/>
          <w:sz w:val="24"/>
          <w:szCs w:val="24"/>
          <w:lang w:eastAsia="es-ES"/>
        </w:rPr>
      </w:pPr>
    </w:p>
    <w:p w:rsidR="00B06ADC" w:rsidRDefault="00B06ADC" w:rsidP="00333ACE">
      <w:pPr>
        <w:spacing w:after="240"/>
        <w:rPr>
          <w:rFonts w:ascii="Times New Roman" w:hAnsi="Times New Roman" w:cs="Times New Roman"/>
          <w:i w:val="0"/>
          <w:sz w:val="24"/>
          <w:szCs w:val="24"/>
          <w:lang w:eastAsia="es-ES"/>
        </w:rPr>
      </w:pPr>
    </w:p>
    <w:p w:rsidR="00B06ADC" w:rsidRPr="00333ACE" w:rsidRDefault="00B06ADC" w:rsidP="00333ACE">
      <w:pPr>
        <w:spacing w:after="240"/>
        <w:rPr>
          <w:rFonts w:ascii="Times New Roman" w:hAnsi="Times New Roman" w:cs="Times New Roman"/>
          <w:i w:val="0"/>
          <w:sz w:val="24"/>
          <w:szCs w:val="24"/>
          <w:lang w:eastAsia="es-ES"/>
        </w:rPr>
      </w:pPr>
    </w:p>
    <w:p w:rsidR="00333ACE" w:rsidRPr="00333ACE" w:rsidRDefault="00333ACE" w:rsidP="00333ACE">
      <w:pPr>
        <w:jc w:val="both"/>
        <w:rPr>
          <w:rFonts w:ascii="Times New Roman" w:hAnsi="Times New Roman" w:cs="Times New Roman"/>
          <w:i w:val="0"/>
          <w:sz w:val="24"/>
          <w:szCs w:val="24"/>
          <w:lang w:eastAsia="es-ES"/>
        </w:rPr>
      </w:pPr>
      <w:r w:rsidRPr="00333ACE">
        <w:rPr>
          <w:i w:val="0"/>
          <w:color w:val="222222"/>
          <w:sz w:val="22"/>
          <w:szCs w:val="22"/>
          <w:lang w:eastAsia="es-ES"/>
        </w:rPr>
        <w:t>Faltas graves.</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numPr>
          <w:ilvl w:val="0"/>
          <w:numId w:val="16"/>
        </w:numPr>
        <w:jc w:val="both"/>
        <w:textAlignment w:val="baseline"/>
        <w:rPr>
          <w:i w:val="0"/>
          <w:color w:val="222222"/>
          <w:sz w:val="22"/>
          <w:szCs w:val="22"/>
          <w:lang w:eastAsia="es-ES"/>
        </w:rPr>
      </w:pPr>
      <w:r w:rsidRPr="00333ACE">
        <w:rPr>
          <w:i w:val="0"/>
          <w:color w:val="222222"/>
          <w:sz w:val="22"/>
          <w:szCs w:val="22"/>
          <w:lang w:eastAsia="es-ES"/>
        </w:rPr>
        <w:t>Se aplicará una penalidad por infracción equivalente al 50% del valor del importe de los productos no suministrados siendo el mínimo de 400 € por penalidad.</w:t>
      </w:r>
    </w:p>
    <w:p w:rsidR="00333ACE" w:rsidRPr="00333ACE" w:rsidRDefault="00333ACE" w:rsidP="00333ACE">
      <w:pPr>
        <w:numPr>
          <w:ilvl w:val="0"/>
          <w:numId w:val="17"/>
        </w:numPr>
        <w:spacing w:before="240" w:after="240"/>
        <w:jc w:val="both"/>
        <w:textAlignment w:val="baseline"/>
        <w:rPr>
          <w:i w:val="0"/>
          <w:sz w:val="22"/>
          <w:szCs w:val="22"/>
          <w:lang w:eastAsia="es-ES"/>
        </w:rPr>
      </w:pPr>
      <w:r w:rsidRPr="00333ACE">
        <w:rPr>
          <w:i w:val="0"/>
          <w:sz w:val="22"/>
          <w:szCs w:val="22"/>
          <w:lang w:eastAsia="es-ES"/>
        </w:rPr>
        <w:t xml:space="preserve">Incumplimiento del plazo para la entrega de la información mediante base de datos: 25% del importe de la última factura abonada por </w:t>
      </w:r>
      <w:proofErr w:type="spellStart"/>
      <w:r w:rsidRPr="00333ACE">
        <w:rPr>
          <w:i w:val="0"/>
          <w:sz w:val="22"/>
          <w:szCs w:val="22"/>
          <w:lang w:eastAsia="es-ES"/>
        </w:rPr>
        <w:t>Asepeyo</w:t>
      </w:r>
      <w:proofErr w:type="spellEnd"/>
      <w:r w:rsidRPr="00333ACE">
        <w:rPr>
          <w:i w:val="0"/>
          <w:sz w:val="22"/>
          <w:szCs w:val="22"/>
          <w:lang w:eastAsia="es-ES"/>
        </w:rPr>
        <w:t xml:space="preserve"> en el mes anterior de los trimestres que no se haya remitido la información, siendo el mínimo de 400€ por penalidad. </w:t>
      </w:r>
    </w:p>
    <w:p w:rsidR="00333ACE" w:rsidRPr="00333ACE" w:rsidRDefault="00333ACE" w:rsidP="00333ACE">
      <w:pPr>
        <w:jc w:val="both"/>
        <w:rPr>
          <w:rFonts w:ascii="Times New Roman" w:hAnsi="Times New Roman" w:cs="Times New Roman"/>
          <w:i w:val="0"/>
          <w:sz w:val="24"/>
          <w:szCs w:val="24"/>
          <w:lang w:eastAsia="es-ES"/>
        </w:rPr>
      </w:pPr>
      <w:r w:rsidRPr="00333ACE">
        <w:rPr>
          <w:i w:val="0"/>
          <w:color w:val="000000"/>
          <w:sz w:val="22"/>
          <w:szCs w:val="22"/>
          <w:lang w:eastAsia="es-ES"/>
        </w:rPr>
        <w:t>Con carácter general indicar que para la imposición de las penalidades así como su grado de importancia se tendrá en cuenta:</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ind w:left="360" w:hanging="360"/>
        <w:jc w:val="both"/>
        <w:rPr>
          <w:rFonts w:ascii="Times New Roman" w:hAnsi="Times New Roman" w:cs="Times New Roman"/>
          <w:i w:val="0"/>
          <w:sz w:val="24"/>
          <w:szCs w:val="24"/>
          <w:lang w:eastAsia="es-ES"/>
        </w:rPr>
      </w:pPr>
      <w:r w:rsidRPr="00333ACE">
        <w:rPr>
          <w:i w:val="0"/>
          <w:color w:val="000000"/>
          <w:sz w:val="22"/>
          <w:szCs w:val="22"/>
          <w:lang w:eastAsia="es-ES"/>
        </w:rPr>
        <w:t>·</w:t>
      </w:r>
      <w:r w:rsidRPr="00333ACE">
        <w:rPr>
          <w:i w:val="0"/>
          <w:color w:val="000000"/>
          <w:sz w:val="22"/>
          <w:szCs w:val="22"/>
          <w:lang w:eastAsia="es-ES"/>
        </w:rPr>
        <w:tab/>
        <w:t>La reincidencia de los hechos y su reiteración, así como la incidencia de los hechos sobre la buena marcha de los servicios solicitados.</w:t>
      </w:r>
    </w:p>
    <w:p w:rsidR="00333ACE" w:rsidRPr="00333ACE" w:rsidRDefault="00333ACE" w:rsidP="00333ACE">
      <w:pPr>
        <w:rPr>
          <w:rFonts w:ascii="Times New Roman" w:hAnsi="Times New Roman" w:cs="Times New Roman"/>
          <w:i w:val="0"/>
          <w:sz w:val="24"/>
          <w:szCs w:val="24"/>
          <w:lang w:eastAsia="es-ES"/>
        </w:rPr>
      </w:pPr>
    </w:p>
    <w:p w:rsidR="00333ACE" w:rsidRPr="00333ACE" w:rsidRDefault="00333ACE" w:rsidP="00333ACE">
      <w:pPr>
        <w:ind w:left="360" w:hanging="360"/>
        <w:jc w:val="both"/>
        <w:rPr>
          <w:rFonts w:ascii="Times New Roman" w:hAnsi="Times New Roman" w:cs="Times New Roman"/>
          <w:i w:val="0"/>
          <w:sz w:val="24"/>
          <w:szCs w:val="24"/>
          <w:lang w:eastAsia="es-ES"/>
        </w:rPr>
      </w:pPr>
      <w:r w:rsidRPr="00333ACE">
        <w:rPr>
          <w:i w:val="0"/>
          <w:color w:val="000000"/>
          <w:sz w:val="22"/>
          <w:szCs w:val="22"/>
          <w:lang w:eastAsia="es-ES"/>
        </w:rPr>
        <w:t>·</w:t>
      </w:r>
      <w:r w:rsidRPr="00333ACE">
        <w:rPr>
          <w:i w:val="0"/>
          <w:color w:val="000000"/>
          <w:sz w:val="22"/>
          <w:szCs w:val="22"/>
          <w:lang w:eastAsia="es-ES"/>
        </w:rPr>
        <w:tab/>
        <w:t>Estas penalidades serán notificadas previamente a la empresa afectada. La factura siguiente a la penalidad vendrá acompañada por una factura de abono por el importe de la penalidad impuesta.</w:t>
      </w:r>
    </w:p>
    <w:p w:rsidR="00584DA1" w:rsidRDefault="00333ACE" w:rsidP="00333ACE">
      <w:pPr>
        <w:rPr>
          <w:b/>
          <w:i w:val="0"/>
          <w:color w:val="FF0000"/>
          <w:sz w:val="22"/>
          <w:szCs w:val="22"/>
        </w:rPr>
      </w:pPr>
      <w:r w:rsidRPr="00333ACE">
        <w:rPr>
          <w:rFonts w:ascii="Times New Roman" w:hAnsi="Times New Roman" w:cs="Times New Roman"/>
          <w:i w:val="0"/>
          <w:sz w:val="24"/>
          <w:szCs w:val="24"/>
          <w:lang w:eastAsia="es-ES"/>
        </w:rPr>
        <w:br/>
      </w: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tbl>
      <w:tblPr>
        <w:tblStyle w:val="af0"/>
        <w:tblW w:w="9630" w:type="dxa"/>
        <w:tblInd w:w="-216" w:type="dxa"/>
        <w:tblLayout w:type="fixed"/>
        <w:tblLook w:val="0000" w:firstRow="0" w:lastRow="0" w:firstColumn="0" w:lastColumn="0" w:noHBand="0" w:noVBand="0"/>
      </w:tblPr>
      <w:tblGrid>
        <w:gridCol w:w="9630"/>
      </w:tblGrid>
      <w:tr w:rsidR="00584DA1" w:rsidTr="00C94026">
        <w:trPr>
          <w:trHeight w:val="348"/>
        </w:trPr>
        <w:tc>
          <w:tcPr>
            <w:tcW w:w="9630" w:type="dxa"/>
            <w:shd w:val="clear" w:color="auto" w:fill="00B0F0"/>
          </w:tcPr>
          <w:p w:rsidR="00584DA1" w:rsidRDefault="002A35DC">
            <w:pPr>
              <w:pBdr>
                <w:top w:val="nil"/>
                <w:left w:val="nil"/>
                <w:bottom w:val="nil"/>
                <w:right w:val="nil"/>
                <w:between w:val="nil"/>
              </w:pBdr>
              <w:jc w:val="both"/>
              <w:rPr>
                <w:rFonts w:eastAsia="Arial"/>
                <w:b/>
                <w:i w:val="0"/>
                <w:color w:val="FFFFFF"/>
                <w:sz w:val="24"/>
                <w:szCs w:val="24"/>
              </w:rPr>
            </w:pPr>
            <w:bookmarkStart w:id="11" w:name="bookmark=id.3rdcrjn" w:colFirst="0" w:colLast="0"/>
            <w:bookmarkEnd w:id="11"/>
            <w:r>
              <w:rPr>
                <w:rFonts w:eastAsia="Arial"/>
                <w:b/>
                <w:i w:val="0"/>
                <w:color w:val="FFFFFF"/>
                <w:sz w:val="24"/>
                <w:szCs w:val="24"/>
              </w:rPr>
              <w:lastRenderedPageBreak/>
              <w:t xml:space="preserve">Anexo IX.- Modificaciones contractuales previstas  </w:t>
            </w:r>
          </w:p>
        </w:tc>
      </w:tr>
    </w:tbl>
    <w:p w:rsidR="00584DA1" w:rsidRDefault="00584DA1">
      <w:pPr>
        <w:pBdr>
          <w:top w:val="nil"/>
          <w:left w:val="nil"/>
          <w:bottom w:val="nil"/>
          <w:right w:val="nil"/>
          <w:between w:val="nil"/>
        </w:pBdr>
        <w:jc w:val="both"/>
        <w:rPr>
          <w:rFonts w:eastAsia="Arial"/>
          <w:b/>
          <w:i w:val="0"/>
          <w:color w:val="000080"/>
          <w:sz w:val="22"/>
          <w:szCs w:val="22"/>
        </w:rPr>
      </w:pPr>
    </w:p>
    <w:p w:rsidR="00584DA1" w:rsidRDefault="00584DA1">
      <w:pPr>
        <w:rPr>
          <w:b/>
          <w:i w:val="0"/>
          <w:color w:val="000080"/>
          <w:sz w:val="18"/>
          <w:szCs w:val="18"/>
        </w:rPr>
      </w:pPr>
    </w:p>
    <w:p w:rsidR="00584DA1" w:rsidRDefault="002A35DC">
      <w:pPr>
        <w:rPr>
          <w:sz w:val="22"/>
          <w:szCs w:val="22"/>
        </w:rPr>
      </w:pPr>
      <w:r>
        <w:rPr>
          <w:b/>
          <w:i w:val="0"/>
        </w:rPr>
        <w:t xml:space="preserve">1. Causas generales. </w:t>
      </w:r>
    </w:p>
    <w:p w:rsidR="00584DA1" w:rsidRDefault="00584DA1">
      <w:pPr>
        <w:jc w:val="both"/>
        <w:rPr>
          <w:b/>
          <w:i w:val="0"/>
        </w:rPr>
      </w:pPr>
    </w:p>
    <w:p w:rsidR="00584DA1" w:rsidRDefault="002A35DC">
      <w:pPr>
        <w:jc w:val="both"/>
        <w:rPr>
          <w:i w:val="0"/>
        </w:rPr>
      </w:pPr>
      <w:r>
        <w:rPr>
          <w:i w:val="0"/>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584DA1" w:rsidRDefault="00584DA1">
      <w:pPr>
        <w:jc w:val="both"/>
        <w:rPr>
          <w:i w:val="0"/>
        </w:rPr>
      </w:pPr>
    </w:p>
    <w:p w:rsidR="00584DA1" w:rsidRDefault="002A35DC">
      <w:pPr>
        <w:jc w:val="both"/>
        <w:rPr>
          <w:i w:val="0"/>
        </w:rPr>
      </w:pPr>
      <w:r>
        <w:rPr>
          <w:i w:val="0"/>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584DA1" w:rsidRDefault="00584DA1">
      <w:pPr>
        <w:jc w:val="both"/>
        <w:rPr>
          <w:i w:val="0"/>
        </w:rPr>
      </w:pPr>
    </w:p>
    <w:p w:rsidR="00584DA1" w:rsidRDefault="002A35DC">
      <w:pPr>
        <w:pBdr>
          <w:top w:val="nil"/>
          <w:left w:val="nil"/>
          <w:bottom w:val="nil"/>
          <w:right w:val="nil"/>
          <w:between w:val="nil"/>
        </w:pBdr>
        <w:jc w:val="both"/>
        <w:rPr>
          <w:rFonts w:eastAsia="Arial"/>
          <w:i w:val="0"/>
          <w:color w:val="000000"/>
          <w:sz w:val="26"/>
          <w:szCs w:val="26"/>
        </w:rPr>
      </w:pPr>
      <w:r>
        <w:rPr>
          <w:rFonts w:eastAsia="Arial"/>
          <w:i w:val="0"/>
          <w:color w:val="000000"/>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584DA1" w:rsidRDefault="00584DA1">
      <w:pPr>
        <w:pBdr>
          <w:top w:val="nil"/>
          <w:left w:val="nil"/>
          <w:bottom w:val="nil"/>
          <w:right w:val="nil"/>
          <w:between w:val="nil"/>
        </w:pBdr>
        <w:jc w:val="both"/>
        <w:rPr>
          <w:rFonts w:eastAsia="Arial"/>
          <w:i w:val="0"/>
          <w:color w:val="000000"/>
        </w:rPr>
      </w:pPr>
    </w:p>
    <w:p w:rsidR="00584DA1" w:rsidRDefault="002A35DC">
      <w:pPr>
        <w:pBdr>
          <w:top w:val="nil"/>
          <w:left w:val="nil"/>
          <w:bottom w:val="nil"/>
          <w:right w:val="nil"/>
          <w:between w:val="nil"/>
        </w:pBdr>
        <w:jc w:val="both"/>
        <w:rPr>
          <w:rFonts w:eastAsia="Arial"/>
          <w:i w:val="0"/>
          <w:color w:val="000000"/>
          <w:sz w:val="26"/>
          <w:szCs w:val="26"/>
        </w:rPr>
      </w:pPr>
      <w:r>
        <w:rPr>
          <w:rFonts w:eastAsia="Arial"/>
          <w:i w:val="0"/>
          <w:color w:val="000000"/>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584DA1" w:rsidRDefault="00584DA1">
      <w:pPr>
        <w:rPr>
          <w:b/>
          <w:i w:val="0"/>
          <w:color w:val="000000"/>
        </w:rPr>
      </w:pPr>
    </w:p>
    <w:p w:rsidR="00584DA1" w:rsidRDefault="002A35DC">
      <w:pPr>
        <w:rPr>
          <w:b/>
          <w:i w:val="0"/>
        </w:rPr>
      </w:pPr>
      <w:r>
        <w:rPr>
          <w:b/>
          <w:i w:val="0"/>
        </w:rPr>
        <w:t>2. Otras modificaciones previstas</w:t>
      </w:r>
    </w:p>
    <w:p w:rsidR="00584DA1" w:rsidRDefault="00584DA1">
      <w:pPr>
        <w:rPr>
          <w:b/>
          <w:i w:val="0"/>
        </w:rPr>
      </w:pPr>
    </w:p>
    <w:p w:rsidR="00584DA1" w:rsidRDefault="002A35DC">
      <w:pPr>
        <w:rPr>
          <w:b/>
          <w:i w:val="0"/>
        </w:rPr>
      </w:pPr>
      <w:r>
        <w:rPr>
          <w:b/>
          <w:i w:val="0"/>
        </w:rPr>
        <w:t xml:space="preserve">No se prevén </w:t>
      </w: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rPr>
          <w:b/>
          <w:i w:val="0"/>
          <w:sz w:val="18"/>
          <w:szCs w:val="18"/>
        </w:rPr>
      </w:pPr>
    </w:p>
    <w:p w:rsidR="00584DA1" w:rsidRDefault="00584DA1">
      <w:pPr>
        <w:pBdr>
          <w:top w:val="nil"/>
          <w:left w:val="nil"/>
          <w:bottom w:val="nil"/>
          <w:right w:val="nil"/>
          <w:between w:val="nil"/>
        </w:pBdr>
        <w:jc w:val="both"/>
        <w:rPr>
          <w:rFonts w:eastAsia="Arial"/>
          <w:b/>
          <w:color w:val="000000"/>
        </w:rPr>
      </w:pPr>
    </w:p>
    <w:p w:rsidR="00584DA1" w:rsidRDefault="00584DA1">
      <w:pPr>
        <w:pBdr>
          <w:top w:val="nil"/>
          <w:left w:val="nil"/>
          <w:bottom w:val="nil"/>
          <w:right w:val="nil"/>
          <w:between w:val="nil"/>
        </w:pBdr>
        <w:jc w:val="both"/>
        <w:rPr>
          <w:rFonts w:eastAsia="Arial"/>
          <w:i w:val="0"/>
          <w:color w:val="000000"/>
        </w:rPr>
      </w:pPr>
    </w:p>
    <w:p w:rsidR="00584DA1" w:rsidRDefault="002A35DC">
      <w:pPr>
        <w:jc w:val="both"/>
      </w:pPr>
      <w:r>
        <w:rPr>
          <w:b/>
          <w:i w:val="0"/>
          <w:sz w:val="18"/>
          <w:szCs w:val="18"/>
        </w:rPr>
        <w:t>* NOTA IMPORTANTE: En ningún caso la suma de las modificaciones totales previstas puede superar 20% del precio inicial del contrato</w:t>
      </w:r>
      <w:r>
        <w:t xml:space="preserve">. </w:t>
      </w:r>
    </w:p>
    <w:p w:rsidR="00584DA1" w:rsidRDefault="00584DA1">
      <w:pPr>
        <w:jc w:val="both"/>
      </w:pPr>
    </w:p>
    <w:p w:rsidR="00584DA1" w:rsidRDefault="002A35DC">
      <w:pPr>
        <w:ind w:hanging="2"/>
        <w:jc w:val="both"/>
        <w:rPr>
          <w:b/>
          <w:i w:val="0"/>
        </w:rPr>
      </w:pPr>
      <w:r>
        <w:rPr>
          <w:b/>
          <w:i w:val="0"/>
          <w:sz w:val="18"/>
          <w:szCs w:val="18"/>
        </w:rPr>
        <w:t>** El procedimiento a seguir en el supuesto de realizar las MODIFICACIONES PREVISTAS es: notificar el acuerdo a la empresa contratista indicando la modificación aplicable y publicar el mismo en el perfil del contratante de ASEPEYO.</w:t>
      </w:r>
      <w:r>
        <w:rPr>
          <w:b/>
          <w:i w:val="0"/>
        </w:rPr>
        <w:t xml:space="preserve"> </w:t>
      </w:r>
    </w:p>
    <w:p w:rsidR="00C94026" w:rsidRDefault="00C94026">
      <w:pPr>
        <w:ind w:hanging="2"/>
        <w:jc w:val="both"/>
        <w:rPr>
          <w:b/>
          <w:i w:val="0"/>
        </w:rPr>
      </w:pPr>
    </w:p>
    <w:p w:rsidR="00C94026" w:rsidRDefault="00C94026">
      <w:pPr>
        <w:ind w:hanging="2"/>
        <w:jc w:val="both"/>
        <w:rPr>
          <w:b/>
          <w:i w:val="0"/>
        </w:rPr>
      </w:pPr>
    </w:p>
    <w:p w:rsidR="00C94026" w:rsidRDefault="00C94026">
      <w:pPr>
        <w:ind w:hanging="2"/>
        <w:jc w:val="both"/>
      </w:pPr>
    </w:p>
    <w:tbl>
      <w:tblPr>
        <w:tblStyle w:val="af1"/>
        <w:tblW w:w="9617" w:type="dxa"/>
        <w:tblInd w:w="-216" w:type="dxa"/>
        <w:tblLayout w:type="fixed"/>
        <w:tblLook w:val="0000" w:firstRow="0" w:lastRow="0" w:firstColumn="0" w:lastColumn="0" w:noHBand="0" w:noVBand="0"/>
      </w:tblPr>
      <w:tblGrid>
        <w:gridCol w:w="9617"/>
      </w:tblGrid>
      <w:tr w:rsidR="00584DA1" w:rsidTr="00C94026">
        <w:trPr>
          <w:trHeight w:val="362"/>
        </w:trPr>
        <w:tc>
          <w:tcPr>
            <w:tcW w:w="9617" w:type="dxa"/>
            <w:shd w:val="clear" w:color="auto" w:fill="00B0F0"/>
          </w:tcPr>
          <w:p w:rsidR="00584DA1" w:rsidRDefault="002A35DC">
            <w:pPr>
              <w:pBdr>
                <w:top w:val="nil"/>
                <w:left w:val="nil"/>
                <w:bottom w:val="nil"/>
                <w:right w:val="nil"/>
                <w:between w:val="nil"/>
              </w:pBdr>
              <w:jc w:val="both"/>
              <w:rPr>
                <w:rFonts w:eastAsia="Arial"/>
                <w:b/>
                <w:i w:val="0"/>
                <w:color w:val="FFFFFF"/>
                <w:sz w:val="24"/>
                <w:szCs w:val="24"/>
              </w:rPr>
            </w:pPr>
            <w:bookmarkStart w:id="12" w:name="bookmark=id.26in1rg" w:colFirst="0" w:colLast="0"/>
            <w:bookmarkEnd w:id="12"/>
            <w:r>
              <w:rPr>
                <w:rFonts w:eastAsia="Arial"/>
                <w:b/>
                <w:i w:val="0"/>
                <w:color w:val="FFFFFF"/>
                <w:sz w:val="24"/>
                <w:szCs w:val="24"/>
              </w:rPr>
              <w:lastRenderedPageBreak/>
              <w:t xml:space="preserve">Anexo X.- Cláusulas específicas de resolución contractual.   </w:t>
            </w:r>
          </w:p>
        </w:tc>
      </w:tr>
    </w:tbl>
    <w:p w:rsidR="00584DA1" w:rsidRDefault="00584DA1">
      <w:pPr>
        <w:pBdr>
          <w:top w:val="nil"/>
          <w:left w:val="nil"/>
          <w:bottom w:val="nil"/>
          <w:right w:val="nil"/>
          <w:between w:val="nil"/>
        </w:pBdr>
        <w:jc w:val="both"/>
        <w:rPr>
          <w:rFonts w:eastAsia="Arial"/>
          <w:b/>
          <w:i w:val="0"/>
          <w:color w:val="000080"/>
          <w:sz w:val="22"/>
          <w:szCs w:val="22"/>
        </w:rPr>
      </w:pPr>
    </w:p>
    <w:p w:rsidR="00584DA1" w:rsidRDefault="00584DA1">
      <w:pPr>
        <w:pBdr>
          <w:top w:val="nil"/>
          <w:left w:val="nil"/>
          <w:bottom w:val="nil"/>
          <w:right w:val="nil"/>
          <w:between w:val="nil"/>
        </w:pBdr>
        <w:jc w:val="both"/>
        <w:rPr>
          <w:rFonts w:eastAsia="Arial"/>
          <w:b/>
          <w:i w:val="0"/>
          <w:color w:val="000000"/>
        </w:rPr>
      </w:pPr>
    </w:p>
    <w:p w:rsidR="0043086F" w:rsidRPr="0043086F" w:rsidRDefault="0043086F" w:rsidP="0043086F">
      <w:pPr>
        <w:jc w:val="both"/>
        <w:rPr>
          <w:rFonts w:ascii="Times New Roman" w:hAnsi="Times New Roman" w:cs="Times New Roman"/>
          <w:i w:val="0"/>
          <w:sz w:val="24"/>
          <w:szCs w:val="24"/>
          <w:lang w:eastAsia="es-ES"/>
        </w:rPr>
      </w:pPr>
      <w:r w:rsidRPr="0043086F">
        <w:rPr>
          <w:i w:val="0"/>
          <w:color w:val="000000"/>
          <w:sz w:val="22"/>
          <w:szCs w:val="22"/>
          <w:lang w:eastAsia="es-ES"/>
        </w:rPr>
        <w:t>Además de las previstas en la cláusula 27 del pliego de cláusulas administrativas particulares, se prevén las siguientes causas específicas de resolución contractual: </w:t>
      </w:r>
    </w:p>
    <w:p w:rsidR="0043086F" w:rsidRPr="0043086F" w:rsidRDefault="0043086F" w:rsidP="0043086F">
      <w:pPr>
        <w:rPr>
          <w:rFonts w:ascii="Times New Roman" w:hAnsi="Times New Roman" w:cs="Times New Roman"/>
          <w:i w:val="0"/>
          <w:sz w:val="24"/>
          <w:szCs w:val="24"/>
          <w:lang w:eastAsia="es-ES"/>
        </w:rPr>
      </w:pPr>
      <w:r w:rsidRPr="0043086F">
        <w:rPr>
          <w:rFonts w:ascii="Times New Roman" w:hAnsi="Times New Roman" w:cs="Times New Roman"/>
          <w:i w:val="0"/>
          <w:sz w:val="24"/>
          <w:szCs w:val="24"/>
          <w:lang w:eastAsia="es-ES"/>
        </w:rPr>
        <w:br/>
      </w:r>
    </w:p>
    <w:p w:rsidR="0043086F" w:rsidRPr="0043086F" w:rsidRDefault="0043086F" w:rsidP="0043086F">
      <w:pPr>
        <w:numPr>
          <w:ilvl w:val="0"/>
          <w:numId w:val="18"/>
        </w:numPr>
        <w:ind w:left="1440"/>
        <w:jc w:val="both"/>
        <w:textAlignment w:val="baseline"/>
        <w:rPr>
          <w:i w:val="0"/>
          <w:color w:val="000000"/>
          <w:sz w:val="22"/>
          <w:szCs w:val="22"/>
          <w:lang w:eastAsia="es-ES"/>
        </w:rPr>
      </w:pPr>
      <w:r w:rsidRPr="0043086F">
        <w:rPr>
          <w:i w:val="0"/>
          <w:color w:val="000000"/>
          <w:sz w:val="22"/>
          <w:szCs w:val="22"/>
          <w:lang w:eastAsia="es-ES"/>
        </w:rPr>
        <w:t>La reiteración de faltas graves (en más de dos ocasiones).</w:t>
      </w:r>
    </w:p>
    <w:p w:rsidR="0043086F" w:rsidRDefault="0043086F" w:rsidP="0043086F">
      <w:pPr>
        <w:rPr>
          <w:rFonts w:ascii="Times New Roman" w:hAnsi="Times New Roman" w:cs="Times New Roman"/>
          <w:i w:val="0"/>
          <w:sz w:val="24"/>
          <w:szCs w:val="24"/>
          <w:lang w:eastAsia="es-ES"/>
        </w:rPr>
      </w:pPr>
    </w:p>
    <w:p w:rsidR="0043086F" w:rsidRPr="0043086F" w:rsidRDefault="0043086F" w:rsidP="0043086F">
      <w:pPr>
        <w:rPr>
          <w:rFonts w:ascii="Times New Roman" w:hAnsi="Times New Roman" w:cs="Times New Roman"/>
          <w:i w:val="0"/>
          <w:sz w:val="24"/>
          <w:szCs w:val="24"/>
          <w:lang w:eastAsia="es-ES"/>
        </w:rPr>
      </w:pPr>
    </w:p>
    <w:p w:rsidR="0043086F" w:rsidRPr="0043086F" w:rsidRDefault="0043086F" w:rsidP="0043086F">
      <w:pPr>
        <w:jc w:val="both"/>
        <w:rPr>
          <w:rFonts w:ascii="Times New Roman" w:hAnsi="Times New Roman" w:cs="Times New Roman"/>
          <w:i w:val="0"/>
          <w:sz w:val="24"/>
          <w:szCs w:val="24"/>
          <w:lang w:eastAsia="es-ES"/>
        </w:rPr>
      </w:pPr>
      <w:r w:rsidRPr="0043086F">
        <w:rPr>
          <w:i w:val="0"/>
          <w:color w:val="000000"/>
          <w:sz w:val="22"/>
          <w:szCs w:val="22"/>
          <w:lang w:eastAsia="es-ES"/>
        </w:rPr>
        <w:t>La resolución del contrato por este motivo no representa menoscabo de la penalidad económica correspondiente (ver Anexo VIII).</w:t>
      </w:r>
    </w:p>
    <w:p w:rsidR="00584DA1" w:rsidRDefault="0043086F" w:rsidP="0043086F">
      <w:pPr>
        <w:pBdr>
          <w:top w:val="nil"/>
          <w:left w:val="nil"/>
          <w:bottom w:val="nil"/>
          <w:right w:val="nil"/>
          <w:between w:val="nil"/>
        </w:pBdr>
        <w:jc w:val="both"/>
        <w:rPr>
          <w:rFonts w:eastAsia="Arial"/>
          <w:b/>
          <w:i w:val="0"/>
          <w:color w:val="000000"/>
          <w:sz w:val="18"/>
          <w:szCs w:val="18"/>
        </w:rPr>
      </w:pPr>
      <w:r w:rsidRPr="0043086F">
        <w:rPr>
          <w:rFonts w:ascii="Times New Roman" w:hAnsi="Times New Roman" w:cs="Times New Roman"/>
          <w:i w:val="0"/>
          <w:sz w:val="24"/>
          <w:szCs w:val="24"/>
          <w:lang w:eastAsia="es-ES"/>
        </w:rPr>
        <w:br/>
      </w:r>
      <w:r w:rsidRPr="0043086F">
        <w:rPr>
          <w:rFonts w:ascii="Times New Roman" w:hAnsi="Times New Roman" w:cs="Times New Roman"/>
          <w:i w:val="0"/>
          <w:sz w:val="24"/>
          <w:szCs w:val="24"/>
          <w:lang w:eastAsia="es-ES"/>
        </w:rPr>
        <w:br/>
      </w:r>
      <w:r w:rsidRPr="0043086F">
        <w:rPr>
          <w:rFonts w:ascii="Times New Roman" w:hAnsi="Times New Roman" w:cs="Times New Roman"/>
          <w:i w:val="0"/>
          <w:sz w:val="24"/>
          <w:szCs w:val="24"/>
          <w:lang w:eastAsia="es-ES"/>
        </w:rPr>
        <w:br/>
      </w: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p w:rsidR="00584DA1" w:rsidRDefault="00584DA1">
      <w:pPr>
        <w:pBdr>
          <w:top w:val="nil"/>
          <w:left w:val="nil"/>
          <w:bottom w:val="nil"/>
          <w:right w:val="nil"/>
          <w:between w:val="nil"/>
        </w:pBdr>
        <w:jc w:val="both"/>
        <w:rPr>
          <w:rFonts w:eastAsia="Arial"/>
          <w:b/>
          <w:i w:val="0"/>
          <w:color w:val="000000"/>
          <w:sz w:val="18"/>
          <w:szCs w:val="18"/>
        </w:rPr>
      </w:pPr>
    </w:p>
    <w:tbl>
      <w:tblPr>
        <w:tblStyle w:val="af2"/>
        <w:tblW w:w="9566" w:type="dxa"/>
        <w:tblInd w:w="-216" w:type="dxa"/>
        <w:tblLayout w:type="fixed"/>
        <w:tblLook w:val="0000" w:firstRow="0" w:lastRow="0" w:firstColumn="0" w:lastColumn="0" w:noHBand="0" w:noVBand="0"/>
      </w:tblPr>
      <w:tblGrid>
        <w:gridCol w:w="9566"/>
      </w:tblGrid>
      <w:tr w:rsidR="00584DA1" w:rsidTr="00C94026">
        <w:trPr>
          <w:trHeight w:val="624"/>
        </w:trPr>
        <w:tc>
          <w:tcPr>
            <w:tcW w:w="9566" w:type="dxa"/>
            <w:shd w:val="clear" w:color="auto" w:fill="00B0F0"/>
          </w:tcPr>
          <w:p w:rsidR="00584DA1" w:rsidRDefault="002A35DC">
            <w:pPr>
              <w:pBdr>
                <w:top w:val="nil"/>
                <w:left w:val="nil"/>
                <w:bottom w:val="nil"/>
                <w:right w:val="nil"/>
                <w:between w:val="nil"/>
              </w:pBdr>
              <w:jc w:val="both"/>
              <w:rPr>
                <w:rFonts w:eastAsia="Arial"/>
                <w:b/>
                <w:i w:val="0"/>
                <w:color w:val="FFFFFF"/>
                <w:sz w:val="24"/>
                <w:szCs w:val="24"/>
              </w:rPr>
            </w:pPr>
            <w:bookmarkStart w:id="13" w:name="bookmark=id.lnxbz9" w:colFirst="0" w:colLast="0"/>
            <w:bookmarkEnd w:id="13"/>
            <w:r>
              <w:rPr>
                <w:rFonts w:eastAsia="Arial"/>
                <w:b/>
                <w:i w:val="0"/>
                <w:color w:val="FFFFFF"/>
                <w:sz w:val="24"/>
                <w:szCs w:val="24"/>
              </w:rPr>
              <w:t xml:space="preserve">Anexo XI.- Criterios de adjudicación.   </w:t>
            </w:r>
          </w:p>
        </w:tc>
      </w:tr>
    </w:tbl>
    <w:p w:rsidR="00584DA1" w:rsidRDefault="00584DA1">
      <w:pPr>
        <w:pBdr>
          <w:top w:val="nil"/>
          <w:left w:val="nil"/>
          <w:bottom w:val="nil"/>
          <w:right w:val="nil"/>
          <w:between w:val="nil"/>
        </w:pBdr>
        <w:jc w:val="both"/>
        <w:rPr>
          <w:rFonts w:eastAsia="Arial"/>
          <w:b/>
          <w:i w:val="0"/>
          <w:color w:val="000080"/>
          <w:sz w:val="22"/>
          <w:szCs w:val="22"/>
        </w:rPr>
      </w:pPr>
    </w:p>
    <w:p w:rsidR="00F16BCE" w:rsidRPr="00F16BCE" w:rsidRDefault="00F16BCE" w:rsidP="00F16BCE">
      <w:pPr>
        <w:rPr>
          <w:rFonts w:ascii="Times New Roman" w:hAnsi="Times New Roman" w:cs="Times New Roman"/>
          <w:i w:val="0"/>
          <w:sz w:val="24"/>
          <w:szCs w:val="24"/>
          <w:lang w:eastAsia="es-ES"/>
        </w:rPr>
      </w:pPr>
      <w:r w:rsidRPr="00F16BCE">
        <w:rPr>
          <w:rFonts w:ascii="Times New Roman" w:hAnsi="Times New Roman" w:cs="Times New Roman"/>
          <w:i w:val="0"/>
          <w:sz w:val="24"/>
          <w:szCs w:val="24"/>
          <w:lang w:eastAsia="es-ES"/>
        </w:rPr>
        <w:br/>
      </w:r>
    </w:p>
    <w:p w:rsidR="00F16BCE" w:rsidRPr="00F16BCE" w:rsidRDefault="00F16BCE" w:rsidP="00F16BCE">
      <w:pPr>
        <w:jc w:val="both"/>
        <w:textAlignment w:val="baseline"/>
        <w:rPr>
          <w:b/>
          <w:bCs/>
          <w:i w:val="0"/>
          <w:color w:val="1F497D"/>
          <w:sz w:val="22"/>
          <w:szCs w:val="22"/>
          <w:lang w:eastAsia="es-ES"/>
        </w:rPr>
      </w:pPr>
      <w:r w:rsidRPr="00F16BCE">
        <w:rPr>
          <w:b/>
          <w:bCs/>
          <w:i w:val="0"/>
          <w:color w:val="1F497D"/>
          <w:sz w:val="22"/>
          <w:szCs w:val="22"/>
          <w:lang w:eastAsia="es-ES"/>
        </w:rPr>
        <w:t>Criterios cuantificables mediante fórmulas automáticas (hasta 100 puntos) </w:t>
      </w:r>
    </w:p>
    <w:p w:rsidR="00F16BCE" w:rsidRPr="00F16BCE" w:rsidRDefault="00F16BCE" w:rsidP="00F16BCE">
      <w:pPr>
        <w:rPr>
          <w:rFonts w:ascii="Times New Roman" w:hAnsi="Times New Roman" w:cs="Times New Roman"/>
          <w:i w:val="0"/>
          <w:sz w:val="24"/>
          <w:szCs w:val="24"/>
          <w:lang w:eastAsia="es-ES"/>
        </w:rPr>
      </w:pPr>
      <w:r w:rsidRPr="00F16BCE">
        <w:rPr>
          <w:rFonts w:ascii="Times New Roman" w:hAnsi="Times New Roman" w:cs="Times New Roman"/>
          <w:i w:val="0"/>
          <w:sz w:val="24"/>
          <w:szCs w:val="24"/>
          <w:lang w:eastAsia="es-ES"/>
        </w:rPr>
        <w:br/>
      </w:r>
    </w:p>
    <w:p w:rsidR="00F16BCE" w:rsidRPr="00BD7862" w:rsidRDefault="00F16BCE" w:rsidP="00F16BCE">
      <w:pPr>
        <w:spacing w:after="200"/>
        <w:jc w:val="both"/>
        <w:rPr>
          <w:b/>
          <w:bCs/>
          <w:i w:val="0"/>
          <w:color w:val="1F497D"/>
          <w:sz w:val="22"/>
          <w:szCs w:val="22"/>
          <w:lang w:eastAsia="es-ES"/>
        </w:rPr>
      </w:pPr>
      <w:r w:rsidRPr="008F5A51">
        <w:rPr>
          <w:b/>
          <w:bCs/>
          <w:i w:val="0"/>
          <w:color w:val="1F497D"/>
          <w:sz w:val="22"/>
          <w:szCs w:val="22"/>
          <w:lang w:eastAsia="es-ES"/>
        </w:rPr>
        <w:t xml:space="preserve">XI.1. Oferta económica: </w:t>
      </w:r>
      <w:r w:rsidRPr="00BD7862">
        <w:rPr>
          <w:b/>
          <w:bCs/>
          <w:i w:val="0"/>
          <w:color w:val="1F497D"/>
          <w:sz w:val="22"/>
          <w:szCs w:val="22"/>
          <w:lang w:eastAsia="es-ES"/>
        </w:rPr>
        <w:t xml:space="preserve">hasta </w:t>
      </w:r>
      <w:r w:rsidR="00BD7862" w:rsidRPr="00BD7862">
        <w:rPr>
          <w:b/>
          <w:bCs/>
          <w:i w:val="0"/>
          <w:color w:val="1F497D"/>
          <w:sz w:val="22"/>
          <w:szCs w:val="22"/>
          <w:lang w:eastAsia="es-ES"/>
        </w:rPr>
        <w:t>96</w:t>
      </w:r>
      <w:r w:rsidRPr="00BD7862">
        <w:rPr>
          <w:b/>
          <w:bCs/>
          <w:i w:val="0"/>
          <w:color w:val="1F497D"/>
          <w:sz w:val="22"/>
          <w:szCs w:val="22"/>
          <w:lang w:eastAsia="es-ES"/>
        </w:rPr>
        <w:t xml:space="preserve"> puntos</w:t>
      </w:r>
    </w:p>
    <w:p w:rsidR="00F16BCE" w:rsidRPr="008F5A51" w:rsidRDefault="00F16BCE" w:rsidP="00F16BCE">
      <w:pPr>
        <w:spacing w:after="280"/>
        <w:jc w:val="both"/>
        <w:rPr>
          <w:rFonts w:ascii="Times New Roman" w:hAnsi="Times New Roman" w:cs="Times New Roman"/>
          <w:i w:val="0"/>
          <w:sz w:val="24"/>
          <w:szCs w:val="24"/>
          <w:lang w:eastAsia="es-ES"/>
        </w:rPr>
      </w:pPr>
      <w:r w:rsidRPr="008F5A51">
        <w:rPr>
          <w:i w:val="0"/>
          <w:color w:val="000000"/>
          <w:sz w:val="22"/>
          <w:szCs w:val="22"/>
          <w:lang w:eastAsia="es-ES"/>
        </w:rPr>
        <w:t>Los puntos obtenidos por cada empresa licitadora se calcularán en base a las siguientes premisas:</w:t>
      </w:r>
    </w:p>
    <w:p w:rsidR="00F16BCE" w:rsidRPr="008F5A51" w:rsidRDefault="00F16BCE" w:rsidP="00F16BCE">
      <w:pPr>
        <w:spacing w:after="280"/>
        <w:jc w:val="both"/>
        <w:rPr>
          <w:rFonts w:ascii="Times New Roman" w:hAnsi="Times New Roman" w:cs="Times New Roman"/>
          <w:i w:val="0"/>
          <w:sz w:val="24"/>
          <w:szCs w:val="24"/>
          <w:lang w:eastAsia="es-ES"/>
        </w:rPr>
      </w:pPr>
      <w:r w:rsidRPr="008F5A51">
        <w:rPr>
          <w:i w:val="0"/>
          <w:color w:val="000000"/>
          <w:sz w:val="22"/>
          <w:szCs w:val="22"/>
          <w:lang w:eastAsia="es-ES"/>
        </w:rPr>
        <w:t>La oferta más baja presentada del PBL del lote que se valore reflejado en la casilla “Importe oferta” del Anexo V (Modelo de proposición económica y demás criterios sometidos a fórmula), obtendrá la máxima puntuación.  El resto de ofertas se puntuarán mediante la siguiente fórmula:</w:t>
      </w:r>
    </w:p>
    <w:p w:rsidR="00F16BCE" w:rsidRPr="00F16BCE" w:rsidRDefault="00F16BCE" w:rsidP="00F16BCE">
      <w:pPr>
        <w:pBdr>
          <w:top w:val="single" w:sz="18" w:space="1" w:color="000000"/>
          <w:left w:val="single" w:sz="18" w:space="4" w:color="000000"/>
          <w:bottom w:val="single" w:sz="18" w:space="1" w:color="000000"/>
          <w:right w:val="single" w:sz="18" w:space="4" w:color="000000"/>
        </w:pBdr>
        <w:ind w:left="-2" w:hanging="2"/>
        <w:jc w:val="both"/>
        <w:rPr>
          <w:rFonts w:ascii="Times New Roman" w:hAnsi="Times New Roman" w:cs="Times New Roman"/>
          <w:i w:val="0"/>
          <w:sz w:val="24"/>
          <w:szCs w:val="24"/>
          <w:lang w:eastAsia="es-ES"/>
        </w:rPr>
      </w:pPr>
      <w:r w:rsidRPr="008F5A51">
        <w:rPr>
          <w:b/>
          <w:bCs/>
          <w:i w:val="0"/>
          <w:color w:val="000000"/>
          <w:sz w:val="22"/>
          <w:szCs w:val="22"/>
          <w:lang w:eastAsia="es-ES"/>
        </w:rPr>
        <w:t>Puntuación obtenida = Máxima puntuación x (Oferta económica más baja presentada del “Importe oferta” del lote / Oferta económica presentada del “Importe oferta” del lote que se valora)</w:t>
      </w:r>
    </w:p>
    <w:p w:rsidR="00584DA1" w:rsidRDefault="00584DA1">
      <w:pPr>
        <w:pBdr>
          <w:top w:val="nil"/>
          <w:left w:val="nil"/>
          <w:bottom w:val="nil"/>
          <w:right w:val="nil"/>
          <w:between w:val="nil"/>
        </w:pBdr>
        <w:jc w:val="both"/>
        <w:rPr>
          <w:rFonts w:eastAsia="Arial"/>
          <w:i w:val="0"/>
          <w:color w:val="000000"/>
        </w:rPr>
      </w:pPr>
    </w:p>
    <w:p w:rsidR="00BD7862" w:rsidRDefault="00BD7862" w:rsidP="00BD7862">
      <w:pPr>
        <w:pBdr>
          <w:top w:val="nil"/>
          <w:left w:val="nil"/>
          <w:bottom w:val="nil"/>
          <w:right w:val="nil"/>
          <w:between w:val="nil"/>
        </w:pBdr>
        <w:jc w:val="both"/>
        <w:rPr>
          <w:rFonts w:eastAsia="Arial"/>
          <w:i w:val="0"/>
          <w:color w:val="000000"/>
        </w:rPr>
      </w:pPr>
    </w:p>
    <w:p w:rsidR="00BD7862" w:rsidRPr="00E313FF" w:rsidRDefault="00BD7862" w:rsidP="00BD7862">
      <w:pPr>
        <w:rPr>
          <w:rFonts w:ascii="Times New Roman" w:hAnsi="Times New Roman" w:cs="Times New Roman"/>
          <w:i w:val="0"/>
          <w:sz w:val="24"/>
          <w:szCs w:val="24"/>
        </w:rPr>
      </w:pPr>
    </w:p>
    <w:p w:rsidR="00BD7862" w:rsidRPr="00E313FF" w:rsidRDefault="00BD7862" w:rsidP="00BD7862">
      <w:pPr>
        <w:spacing w:after="200"/>
        <w:ind w:left="-2" w:hanging="2"/>
        <w:jc w:val="both"/>
        <w:rPr>
          <w:rFonts w:ascii="Times New Roman" w:hAnsi="Times New Roman" w:cs="Times New Roman"/>
          <w:i w:val="0"/>
          <w:sz w:val="24"/>
          <w:szCs w:val="24"/>
        </w:rPr>
      </w:pPr>
      <w:r>
        <w:rPr>
          <w:b/>
          <w:bCs/>
          <w:i w:val="0"/>
          <w:color w:val="1F497D"/>
          <w:sz w:val="22"/>
          <w:szCs w:val="22"/>
        </w:rPr>
        <w:t>XI</w:t>
      </w:r>
      <w:r w:rsidRPr="00E313FF">
        <w:rPr>
          <w:b/>
          <w:bCs/>
          <w:i w:val="0"/>
          <w:color w:val="1F497D"/>
          <w:sz w:val="22"/>
          <w:szCs w:val="22"/>
        </w:rPr>
        <w:t>.2. Reducción del plazo de entrega exigido en el PPT: hasta 2 puntos</w:t>
      </w:r>
    </w:p>
    <w:p w:rsidR="00BD7862" w:rsidRPr="00E313FF" w:rsidRDefault="00BD7862" w:rsidP="00BD7862">
      <w:pPr>
        <w:spacing w:after="200"/>
        <w:ind w:left="-2" w:hanging="2"/>
        <w:jc w:val="both"/>
        <w:rPr>
          <w:rFonts w:ascii="Times New Roman" w:hAnsi="Times New Roman" w:cs="Times New Roman"/>
          <w:i w:val="0"/>
          <w:sz w:val="24"/>
          <w:szCs w:val="24"/>
        </w:rPr>
      </w:pPr>
      <w:r w:rsidRPr="00E313FF">
        <w:rPr>
          <w:i w:val="0"/>
          <w:color w:val="000000"/>
          <w:sz w:val="22"/>
          <w:szCs w:val="22"/>
        </w:rPr>
        <w:t>Se cumplimentará el apartado 1.2. Reducción del plazo de entrega exigido en el PPT del anexo V (Modelo de proposición económica y demás criterios sometidos a fórmula) indicando el compromiso del rango de plazo de tiempo de entrega de cualquiera de los productos del listado del Anexo V. </w:t>
      </w:r>
    </w:p>
    <w:p w:rsidR="00BD7862" w:rsidRPr="00E313FF" w:rsidRDefault="00BD7862" w:rsidP="00BD7862">
      <w:pPr>
        <w:ind w:left="-2" w:hanging="2"/>
        <w:jc w:val="both"/>
        <w:rPr>
          <w:rFonts w:ascii="Times New Roman" w:hAnsi="Times New Roman" w:cs="Times New Roman"/>
          <w:i w:val="0"/>
          <w:sz w:val="24"/>
          <w:szCs w:val="24"/>
        </w:rPr>
      </w:pPr>
      <w:r w:rsidRPr="00E313FF">
        <w:rPr>
          <w:i w:val="0"/>
          <w:color w:val="000000"/>
          <w:sz w:val="22"/>
          <w:szCs w:val="22"/>
        </w:rPr>
        <w:t>La puntuación se distribuye de la siguiente manera:</w:t>
      </w:r>
    </w:p>
    <w:p w:rsidR="00BD7862" w:rsidRPr="00E313FF" w:rsidRDefault="00BD7862" w:rsidP="00BD7862">
      <w:pPr>
        <w:rPr>
          <w:rFonts w:ascii="Times New Roman" w:hAnsi="Times New Roman" w:cs="Times New Roman"/>
          <w:i w:val="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204"/>
        <w:gridCol w:w="1071"/>
      </w:tblGrid>
      <w:tr w:rsidR="00BD7862" w:rsidRPr="00E313FF" w:rsidTr="0000549A">
        <w:trPr>
          <w:trHeight w:val="5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D7862" w:rsidRPr="00E313FF" w:rsidRDefault="00BD7862" w:rsidP="0000549A">
            <w:pPr>
              <w:ind w:left="-2" w:hanging="2"/>
              <w:jc w:val="both"/>
              <w:rPr>
                <w:rFonts w:ascii="Times New Roman" w:hAnsi="Times New Roman" w:cs="Times New Roman"/>
                <w:i w:val="0"/>
                <w:sz w:val="24"/>
                <w:szCs w:val="24"/>
              </w:rPr>
            </w:pPr>
            <w:r w:rsidRPr="00E313FF">
              <w:rPr>
                <w:i w:val="0"/>
                <w:color w:val="000000"/>
                <w:sz w:val="22"/>
                <w:szCs w:val="22"/>
              </w:rPr>
              <w:t>No presentación de reducción del plazo de entrega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D7862" w:rsidRPr="00E313FF" w:rsidRDefault="00BD7862" w:rsidP="0000549A">
            <w:pPr>
              <w:ind w:left="-2" w:hanging="2"/>
              <w:jc w:val="center"/>
              <w:rPr>
                <w:rFonts w:ascii="Times New Roman" w:hAnsi="Times New Roman" w:cs="Times New Roman"/>
                <w:i w:val="0"/>
                <w:sz w:val="24"/>
                <w:szCs w:val="24"/>
              </w:rPr>
            </w:pPr>
            <w:r w:rsidRPr="00E313FF">
              <w:rPr>
                <w:i w:val="0"/>
                <w:color w:val="000000"/>
                <w:sz w:val="22"/>
                <w:szCs w:val="22"/>
              </w:rPr>
              <w:t>0 puntos</w:t>
            </w:r>
          </w:p>
        </w:tc>
      </w:tr>
      <w:tr w:rsidR="00BD7862" w:rsidRPr="00E313FF" w:rsidTr="0000549A">
        <w:trPr>
          <w:trHeight w:val="5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D7862" w:rsidRPr="00E313FF" w:rsidRDefault="00BD7862" w:rsidP="0000549A">
            <w:pPr>
              <w:ind w:left="-2" w:hanging="2"/>
              <w:jc w:val="both"/>
              <w:rPr>
                <w:rFonts w:ascii="Times New Roman" w:hAnsi="Times New Roman" w:cs="Times New Roman"/>
                <w:i w:val="0"/>
                <w:sz w:val="24"/>
                <w:szCs w:val="24"/>
              </w:rPr>
            </w:pPr>
            <w:r w:rsidRPr="00E313FF">
              <w:rPr>
                <w:i w:val="0"/>
                <w:color w:val="000000"/>
                <w:sz w:val="22"/>
                <w:szCs w:val="22"/>
              </w:rPr>
              <w:t>Plazo de entrega ≤ 48h. (2 días hábiles)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D7862" w:rsidRPr="00E313FF" w:rsidRDefault="00BD7862" w:rsidP="0000549A">
            <w:pPr>
              <w:ind w:left="-2" w:hanging="2"/>
              <w:jc w:val="center"/>
              <w:rPr>
                <w:rFonts w:ascii="Times New Roman" w:hAnsi="Times New Roman" w:cs="Times New Roman"/>
                <w:i w:val="0"/>
                <w:sz w:val="24"/>
                <w:szCs w:val="24"/>
              </w:rPr>
            </w:pPr>
            <w:r w:rsidRPr="00E313FF">
              <w:rPr>
                <w:i w:val="0"/>
                <w:color w:val="000000"/>
                <w:sz w:val="22"/>
                <w:szCs w:val="22"/>
              </w:rPr>
              <w:t>1 puntos</w:t>
            </w:r>
          </w:p>
        </w:tc>
      </w:tr>
      <w:tr w:rsidR="00BD7862" w:rsidRPr="00E313FF" w:rsidTr="0000549A">
        <w:trPr>
          <w:trHeight w:val="5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D7862" w:rsidRPr="00E313FF" w:rsidRDefault="00BD7862" w:rsidP="0000549A">
            <w:pPr>
              <w:ind w:left="-2" w:hanging="2"/>
              <w:jc w:val="both"/>
              <w:rPr>
                <w:rFonts w:ascii="Times New Roman" w:hAnsi="Times New Roman" w:cs="Times New Roman"/>
                <w:i w:val="0"/>
                <w:sz w:val="24"/>
                <w:szCs w:val="24"/>
              </w:rPr>
            </w:pPr>
            <w:r w:rsidRPr="00E313FF">
              <w:rPr>
                <w:i w:val="0"/>
                <w:color w:val="000000"/>
                <w:sz w:val="22"/>
                <w:szCs w:val="22"/>
              </w:rPr>
              <w:t>Plazo de entrega ≤ 24h. (1 día hábil)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D7862" w:rsidRPr="00E313FF" w:rsidRDefault="00BD7862" w:rsidP="0000549A">
            <w:pPr>
              <w:ind w:left="-2" w:hanging="2"/>
              <w:jc w:val="center"/>
              <w:rPr>
                <w:rFonts w:ascii="Times New Roman" w:hAnsi="Times New Roman" w:cs="Times New Roman"/>
                <w:i w:val="0"/>
                <w:sz w:val="24"/>
                <w:szCs w:val="24"/>
              </w:rPr>
            </w:pPr>
            <w:r w:rsidRPr="00E313FF">
              <w:rPr>
                <w:i w:val="0"/>
                <w:color w:val="000000"/>
                <w:sz w:val="22"/>
                <w:szCs w:val="22"/>
              </w:rPr>
              <w:t>2 puntos</w:t>
            </w:r>
          </w:p>
        </w:tc>
      </w:tr>
    </w:tbl>
    <w:p w:rsidR="00BD7862" w:rsidRPr="00E313FF" w:rsidRDefault="00BD7862" w:rsidP="00BD7862">
      <w:pPr>
        <w:spacing w:after="240"/>
        <w:rPr>
          <w:rFonts w:ascii="Times New Roman" w:hAnsi="Times New Roman" w:cs="Times New Roman"/>
          <w:i w:val="0"/>
          <w:sz w:val="24"/>
          <w:szCs w:val="24"/>
        </w:rPr>
      </w:pPr>
    </w:p>
    <w:p w:rsidR="00BD7862" w:rsidRPr="00E313FF" w:rsidRDefault="00BD7862" w:rsidP="00BD7862">
      <w:pPr>
        <w:spacing w:after="200"/>
        <w:ind w:left="-2" w:hanging="2"/>
        <w:jc w:val="both"/>
        <w:rPr>
          <w:rFonts w:ascii="Times New Roman" w:hAnsi="Times New Roman" w:cs="Times New Roman"/>
          <w:i w:val="0"/>
          <w:sz w:val="24"/>
          <w:szCs w:val="24"/>
        </w:rPr>
      </w:pPr>
      <w:r>
        <w:rPr>
          <w:b/>
          <w:bCs/>
          <w:i w:val="0"/>
          <w:color w:val="1F497D"/>
          <w:sz w:val="22"/>
          <w:szCs w:val="22"/>
        </w:rPr>
        <w:t>XI</w:t>
      </w:r>
      <w:r w:rsidRPr="00E313FF">
        <w:rPr>
          <w:b/>
          <w:bCs/>
          <w:i w:val="0"/>
          <w:color w:val="1F497D"/>
          <w:sz w:val="22"/>
          <w:szCs w:val="22"/>
        </w:rPr>
        <w:t>.3. Plazo de respuesta ante posibles incidencias exigido en el PPT: hasta 2 puntos</w:t>
      </w:r>
    </w:p>
    <w:p w:rsidR="00BD7862" w:rsidRPr="00E313FF" w:rsidRDefault="00BD7862" w:rsidP="00BD7862">
      <w:pPr>
        <w:spacing w:after="200"/>
        <w:ind w:left="-2" w:hanging="2"/>
        <w:jc w:val="both"/>
        <w:rPr>
          <w:rFonts w:ascii="Times New Roman" w:hAnsi="Times New Roman" w:cs="Times New Roman"/>
          <w:i w:val="0"/>
          <w:sz w:val="24"/>
          <w:szCs w:val="24"/>
        </w:rPr>
      </w:pPr>
      <w:r w:rsidRPr="00E313FF">
        <w:rPr>
          <w:i w:val="0"/>
          <w:color w:val="000000"/>
          <w:sz w:val="22"/>
          <w:szCs w:val="22"/>
        </w:rPr>
        <w:t>Se cumplimentará el apartado 1.3. Plazo de respuesta ante posibles incidencias del anexo V (Modelo de proposición económica y demás criterios sometidos a fórmula).</w:t>
      </w:r>
    </w:p>
    <w:p w:rsidR="00BD7862" w:rsidRPr="00E313FF" w:rsidRDefault="00BD7862" w:rsidP="00BD7862">
      <w:pPr>
        <w:spacing w:after="200"/>
        <w:ind w:left="-2" w:hanging="2"/>
        <w:jc w:val="both"/>
        <w:rPr>
          <w:rFonts w:ascii="Times New Roman" w:hAnsi="Times New Roman" w:cs="Times New Roman"/>
          <w:i w:val="0"/>
          <w:sz w:val="24"/>
          <w:szCs w:val="24"/>
        </w:rPr>
      </w:pPr>
      <w:r w:rsidRPr="00E313FF">
        <w:rPr>
          <w:i w:val="0"/>
          <w:color w:val="000000"/>
          <w:sz w:val="22"/>
          <w:szCs w:val="22"/>
        </w:rPr>
        <w:t xml:space="preserve">Se otorgará 0 puntos al licitador que no oferte ningún plazo o no lo haga con una cifra. (queda pues descartada cualquier oferta definida como “inmediata”, </w:t>
      </w:r>
      <w:proofErr w:type="spellStart"/>
      <w:r w:rsidRPr="00E313FF">
        <w:rPr>
          <w:i w:val="0"/>
          <w:color w:val="000000"/>
          <w:sz w:val="22"/>
          <w:szCs w:val="22"/>
        </w:rPr>
        <w:t>etc</w:t>
      </w:r>
      <w:proofErr w:type="spellEnd"/>
      <w:r w:rsidRPr="00E313FF">
        <w:rPr>
          <w:i w:val="0"/>
          <w:color w:val="000000"/>
          <w:sz w:val="22"/>
          <w:szCs w:val="22"/>
        </w:rPr>
        <w:t>). </w:t>
      </w:r>
    </w:p>
    <w:p w:rsidR="00BD7862" w:rsidRPr="00E313FF" w:rsidRDefault="00BD7862" w:rsidP="00BD7862">
      <w:pPr>
        <w:rPr>
          <w:rFonts w:ascii="Times New Roman" w:hAnsi="Times New Roman" w:cs="Times New Roman"/>
          <w:i w:val="0"/>
          <w:sz w:val="24"/>
          <w:szCs w:val="24"/>
        </w:rPr>
      </w:pPr>
    </w:p>
    <w:p w:rsidR="00BD7862" w:rsidRPr="00E313FF" w:rsidRDefault="00BD7862" w:rsidP="00BD7862">
      <w:pPr>
        <w:spacing w:after="275"/>
        <w:ind w:left="-2" w:hanging="2"/>
        <w:jc w:val="both"/>
        <w:rPr>
          <w:rFonts w:ascii="Times New Roman" w:hAnsi="Times New Roman" w:cs="Times New Roman"/>
          <w:i w:val="0"/>
          <w:sz w:val="24"/>
          <w:szCs w:val="24"/>
        </w:rPr>
      </w:pPr>
      <w:r w:rsidRPr="00E313FF">
        <w:rPr>
          <w:i w:val="0"/>
          <w:color w:val="000000"/>
          <w:sz w:val="22"/>
          <w:szCs w:val="22"/>
        </w:rPr>
        <w:t>Los puntos obtenidos por cada empresa licitadora que haya ofertado el plazo de respuesta ante posibles incidencias se calcularán en base a las siguientes premisas:</w:t>
      </w:r>
    </w:p>
    <w:p w:rsidR="00BD7862" w:rsidRDefault="00BD7862" w:rsidP="00BD7862">
      <w:pPr>
        <w:rPr>
          <w:rFonts w:ascii="Times New Roman" w:hAnsi="Times New Roman" w:cs="Times New Roman"/>
          <w:i w:val="0"/>
          <w:sz w:val="24"/>
          <w:szCs w:val="24"/>
        </w:rPr>
      </w:pPr>
    </w:p>
    <w:p w:rsidR="00BD7862" w:rsidRDefault="00BD7862" w:rsidP="00BD7862">
      <w:pPr>
        <w:rPr>
          <w:rFonts w:ascii="Times New Roman" w:hAnsi="Times New Roman" w:cs="Times New Roman"/>
          <w:i w:val="0"/>
          <w:sz w:val="24"/>
          <w:szCs w:val="24"/>
        </w:rPr>
      </w:pPr>
    </w:p>
    <w:p w:rsidR="00BD7862" w:rsidRDefault="00BD7862" w:rsidP="00BD7862">
      <w:pPr>
        <w:rPr>
          <w:rFonts w:ascii="Times New Roman" w:hAnsi="Times New Roman" w:cs="Times New Roman"/>
          <w:i w:val="0"/>
          <w:sz w:val="24"/>
          <w:szCs w:val="24"/>
        </w:rPr>
      </w:pPr>
    </w:p>
    <w:p w:rsidR="00BD7862" w:rsidRDefault="00BD7862" w:rsidP="00BD7862">
      <w:pPr>
        <w:rPr>
          <w:rFonts w:ascii="Times New Roman" w:hAnsi="Times New Roman" w:cs="Times New Roman"/>
          <w:i w:val="0"/>
          <w:sz w:val="24"/>
          <w:szCs w:val="24"/>
        </w:rPr>
      </w:pPr>
    </w:p>
    <w:p w:rsidR="00BD7862" w:rsidRPr="00E313FF" w:rsidRDefault="00BD7862" w:rsidP="00BD7862">
      <w:pPr>
        <w:rPr>
          <w:rFonts w:ascii="Times New Roman" w:hAnsi="Times New Roman" w:cs="Times New Roman"/>
          <w:i w:val="0"/>
          <w:sz w:val="24"/>
          <w:szCs w:val="24"/>
        </w:rPr>
      </w:pPr>
    </w:p>
    <w:p w:rsidR="00BD7862" w:rsidRPr="00E313FF" w:rsidRDefault="00BD7862" w:rsidP="00BD7862">
      <w:pPr>
        <w:ind w:left="-2" w:hanging="2"/>
        <w:jc w:val="both"/>
        <w:rPr>
          <w:rFonts w:ascii="Times New Roman" w:hAnsi="Times New Roman" w:cs="Times New Roman"/>
          <w:i w:val="0"/>
          <w:sz w:val="24"/>
          <w:szCs w:val="24"/>
        </w:rPr>
      </w:pPr>
      <w:r w:rsidRPr="00E313FF">
        <w:rPr>
          <w:i w:val="0"/>
          <w:color w:val="000000"/>
          <w:sz w:val="22"/>
          <w:szCs w:val="22"/>
        </w:rPr>
        <w:t>La puntuación se distribuye de la siguiente manera:</w:t>
      </w:r>
    </w:p>
    <w:p w:rsidR="00BD7862" w:rsidRPr="00E313FF" w:rsidRDefault="00BD7862" w:rsidP="00BD7862">
      <w:pPr>
        <w:rPr>
          <w:rFonts w:ascii="Times New Roman" w:hAnsi="Times New Roman" w:cs="Times New Roman"/>
          <w:i w:val="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410"/>
        <w:gridCol w:w="3359"/>
      </w:tblGrid>
      <w:tr w:rsidR="00BD7862" w:rsidRPr="00E313FF" w:rsidTr="0000549A">
        <w:trPr>
          <w:trHeight w:val="5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D7862" w:rsidRPr="00E313FF" w:rsidRDefault="00BD7862" w:rsidP="0000549A">
            <w:pPr>
              <w:ind w:left="-2" w:hanging="2"/>
              <w:jc w:val="both"/>
              <w:rPr>
                <w:rFonts w:ascii="Times New Roman" w:hAnsi="Times New Roman" w:cs="Times New Roman"/>
                <w:i w:val="0"/>
                <w:sz w:val="24"/>
                <w:szCs w:val="24"/>
              </w:rPr>
            </w:pPr>
            <w:r w:rsidRPr="00E313FF">
              <w:rPr>
                <w:i w:val="0"/>
                <w:color w:val="000000"/>
                <w:sz w:val="22"/>
                <w:szCs w:val="22"/>
              </w:rPr>
              <w:t>No presentación de reducción del plazo de respuesta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D7862" w:rsidRPr="00E313FF" w:rsidRDefault="00BD7862" w:rsidP="0000549A">
            <w:pPr>
              <w:ind w:left="-2" w:hanging="2"/>
              <w:jc w:val="center"/>
              <w:rPr>
                <w:rFonts w:ascii="Times New Roman" w:hAnsi="Times New Roman" w:cs="Times New Roman"/>
                <w:i w:val="0"/>
                <w:sz w:val="24"/>
                <w:szCs w:val="24"/>
              </w:rPr>
            </w:pPr>
            <w:r w:rsidRPr="00E313FF">
              <w:rPr>
                <w:i w:val="0"/>
                <w:color w:val="000000"/>
                <w:sz w:val="22"/>
                <w:szCs w:val="22"/>
              </w:rPr>
              <w:t>0 puntos</w:t>
            </w:r>
          </w:p>
        </w:tc>
      </w:tr>
      <w:tr w:rsidR="00BD7862" w:rsidRPr="00E313FF" w:rsidTr="0000549A">
        <w:trPr>
          <w:trHeight w:val="5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D7862" w:rsidRPr="00E313FF" w:rsidRDefault="00BD7862" w:rsidP="0000549A">
            <w:pPr>
              <w:ind w:left="-2" w:hanging="2"/>
              <w:jc w:val="both"/>
              <w:rPr>
                <w:rFonts w:ascii="Times New Roman" w:hAnsi="Times New Roman" w:cs="Times New Roman"/>
                <w:i w:val="0"/>
                <w:sz w:val="24"/>
                <w:szCs w:val="24"/>
              </w:rPr>
            </w:pPr>
            <w:r w:rsidRPr="00E313FF">
              <w:rPr>
                <w:i w:val="0"/>
                <w:color w:val="000000"/>
                <w:sz w:val="22"/>
                <w:szCs w:val="22"/>
              </w:rPr>
              <w:t>Plazo de respuesta ≤ 24h  (1 día hábil)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D7862" w:rsidRPr="005B30A8" w:rsidRDefault="00BD7862" w:rsidP="00BD7862">
            <w:pPr>
              <w:pStyle w:val="Prrafodelista"/>
              <w:numPr>
                <w:ilvl w:val="1"/>
                <w:numId w:val="16"/>
              </w:numPr>
              <w:tabs>
                <w:tab w:val="clear" w:pos="1440"/>
              </w:tabs>
              <w:jc w:val="center"/>
              <w:rPr>
                <w:rFonts w:ascii="Times New Roman" w:hAnsi="Times New Roman"/>
                <w:sz w:val="24"/>
                <w:szCs w:val="24"/>
              </w:rPr>
            </w:pPr>
            <w:r w:rsidRPr="005B30A8">
              <w:rPr>
                <w:color w:val="000000"/>
              </w:rPr>
              <w:t>puntos</w:t>
            </w:r>
          </w:p>
        </w:tc>
      </w:tr>
    </w:tbl>
    <w:p w:rsidR="00BD7862" w:rsidRPr="00E313FF" w:rsidRDefault="00BD7862" w:rsidP="00BD7862">
      <w:pPr>
        <w:rPr>
          <w:rFonts w:ascii="Times New Roman" w:hAnsi="Times New Roman" w:cs="Times New Roman"/>
          <w:i w:val="0"/>
          <w:sz w:val="24"/>
          <w:szCs w:val="24"/>
        </w:rPr>
      </w:pPr>
      <w:r w:rsidRPr="00E313FF">
        <w:rPr>
          <w:rFonts w:ascii="Times New Roman" w:hAnsi="Times New Roman" w:cs="Times New Roman"/>
          <w:i w:val="0"/>
          <w:sz w:val="24"/>
          <w:szCs w:val="24"/>
        </w:rPr>
        <w:br/>
      </w:r>
    </w:p>
    <w:p w:rsidR="00BD7862" w:rsidRPr="00E313FF" w:rsidRDefault="00BD7862" w:rsidP="00BD7862">
      <w:pPr>
        <w:spacing w:after="200"/>
        <w:jc w:val="both"/>
        <w:textAlignment w:val="baseline"/>
        <w:rPr>
          <w:b/>
          <w:bCs/>
          <w:i w:val="0"/>
          <w:color w:val="1F497D"/>
          <w:sz w:val="22"/>
          <w:szCs w:val="22"/>
        </w:rPr>
      </w:pPr>
      <w:r>
        <w:rPr>
          <w:b/>
          <w:bCs/>
          <w:i w:val="0"/>
          <w:color w:val="1F497D"/>
          <w:sz w:val="22"/>
          <w:szCs w:val="22"/>
        </w:rPr>
        <w:t xml:space="preserve">XI.4. </w:t>
      </w:r>
      <w:r w:rsidRPr="00E313FF">
        <w:rPr>
          <w:b/>
          <w:bCs/>
          <w:i w:val="0"/>
          <w:color w:val="1F497D"/>
          <w:sz w:val="22"/>
          <w:szCs w:val="22"/>
        </w:rPr>
        <w:t>Documentación técnica obligatoria (no puntuable)</w:t>
      </w:r>
    </w:p>
    <w:p w:rsidR="00BD7862" w:rsidRPr="00E313FF" w:rsidRDefault="00BD7862" w:rsidP="00BD7862">
      <w:pPr>
        <w:rPr>
          <w:rFonts w:ascii="Times New Roman" w:hAnsi="Times New Roman" w:cs="Times New Roman"/>
          <w:i w:val="0"/>
          <w:sz w:val="24"/>
          <w:szCs w:val="24"/>
        </w:rPr>
      </w:pPr>
    </w:p>
    <w:p w:rsidR="00BD7862" w:rsidRPr="00FF31BF" w:rsidRDefault="00BD7862" w:rsidP="00BD7862">
      <w:pPr>
        <w:pStyle w:val="Prrafodelista"/>
        <w:numPr>
          <w:ilvl w:val="0"/>
          <w:numId w:val="21"/>
        </w:numPr>
        <w:spacing w:line="240" w:lineRule="auto"/>
        <w:jc w:val="both"/>
        <w:textAlignment w:val="baseline"/>
        <w:rPr>
          <w:rFonts w:eastAsia="Times New Roman"/>
          <w:color w:val="000000"/>
        </w:rPr>
      </w:pPr>
      <w:r w:rsidRPr="00FF31BF">
        <w:rPr>
          <w:rFonts w:eastAsia="Times New Roman"/>
          <w:color w:val="000000"/>
        </w:rPr>
        <w:t>Se comprobará que se haya facilitado toda la documentación técnica exigida, en el apartado 4. Presentación de las ofertas del Pliego de Prescripciones Técnicas (PPT).</w:t>
      </w:r>
    </w:p>
    <w:p w:rsidR="00BD7862" w:rsidRPr="00E313FF" w:rsidRDefault="00BD7862" w:rsidP="00BD7862">
      <w:pPr>
        <w:rPr>
          <w:rFonts w:ascii="Times New Roman" w:hAnsi="Times New Roman" w:cs="Times New Roman"/>
          <w:i w:val="0"/>
          <w:sz w:val="24"/>
          <w:szCs w:val="24"/>
        </w:rPr>
      </w:pPr>
    </w:p>
    <w:p w:rsidR="00BD7862" w:rsidRPr="00FF31BF" w:rsidRDefault="00BD7862" w:rsidP="00BD7862">
      <w:pPr>
        <w:pStyle w:val="Prrafodelista"/>
        <w:numPr>
          <w:ilvl w:val="0"/>
          <w:numId w:val="21"/>
        </w:numPr>
        <w:spacing w:line="240" w:lineRule="auto"/>
        <w:jc w:val="both"/>
        <w:textAlignment w:val="baseline"/>
        <w:rPr>
          <w:rFonts w:eastAsia="Times New Roman"/>
          <w:color w:val="000000"/>
        </w:rPr>
      </w:pPr>
      <w:r w:rsidRPr="00FF31BF">
        <w:rPr>
          <w:rFonts w:eastAsia="Times New Roman"/>
          <w:color w:val="000000"/>
        </w:rPr>
        <w:t>Con la documentación técnica entregada, se comprobará que los productos presentados cumplen con todas las especificaciones técnicas solicitadas. </w:t>
      </w:r>
    </w:p>
    <w:p w:rsidR="00BD7862" w:rsidRPr="00E313FF" w:rsidRDefault="00BD7862" w:rsidP="00BD7862">
      <w:pPr>
        <w:rPr>
          <w:rFonts w:ascii="Times New Roman" w:hAnsi="Times New Roman" w:cs="Times New Roman"/>
          <w:i w:val="0"/>
          <w:sz w:val="24"/>
          <w:szCs w:val="24"/>
        </w:rPr>
      </w:pPr>
    </w:p>
    <w:p w:rsidR="00BD7862" w:rsidRPr="00FF31BF" w:rsidRDefault="00BD7862" w:rsidP="00BD7862">
      <w:pPr>
        <w:pStyle w:val="Prrafodelista"/>
        <w:numPr>
          <w:ilvl w:val="0"/>
          <w:numId w:val="21"/>
        </w:numPr>
        <w:spacing w:line="240" w:lineRule="auto"/>
        <w:jc w:val="both"/>
        <w:textAlignment w:val="baseline"/>
        <w:rPr>
          <w:rFonts w:eastAsia="Times New Roman"/>
          <w:color w:val="000000"/>
        </w:rPr>
      </w:pPr>
      <w:r w:rsidRPr="00FF31BF">
        <w:rPr>
          <w:rFonts w:eastAsia="Times New Roman"/>
          <w:color w:val="000000"/>
        </w:rPr>
        <w:t>La valoración de las especificaciones técnicas se realizará en base a las características de cada producto licitado.</w:t>
      </w:r>
    </w:p>
    <w:p w:rsidR="00BD7862" w:rsidRPr="00FF31BF" w:rsidRDefault="00BD7862" w:rsidP="00BD7862">
      <w:pPr>
        <w:pStyle w:val="Prrafodelista"/>
        <w:numPr>
          <w:ilvl w:val="0"/>
          <w:numId w:val="21"/>
        </w:numPr>
        <w:spacing w:line="240" w:lineRule="auto"/>
        <w:rPr>
          <w:rFonts w:eastAsia="Times New Roman"/>
          <w:color w:val="000000"/>
        </w:rPr>
      </w:pPr>
      <w:r w:rsidRPr="00FF31BF">
        <w:rPr>
          <w:rFonts w:ascii="Times New Roman" w:eastAsia="Times New Roman" w:hAnsi="Times New Roman"/>
          <w:sz w:val="24"/>
          <w:szCs w:val="24"/>
        </w:rPr>
        <w:br/>
      </w:r>
      <w:r w:rsidRPr="00FF31BF">
        <w:rPr>
          <w:rFonts w:eastAsia="Times New Roman"/>
          <w:color w:val="000000"/>
        </w:rPr>
        <w:t>Serán motivo de exclusión las causas descritas en el apartado 4.6 del PPT.</w:t>
      </w:r>
    </w:p>
    <w:p w:rsidR="00584DA1" w:rsidRDefault="00584DA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8F5A51" w:rsidRDefault="008F5A51">
      <w:pPr>
        <w:pBdr>
          <w:top w:val="nil"/>
          <w:left w:val="nil"/>
          <w:bottom w:val="nil"/>
          <w:right w:val="nil"/>
          <w:between w:val="nil"/>
        </w:pBdr>
        <w:jc w:val="both"/>
        <w:rPr>
          <w:rFonts w:eastAsia="Arial"/>
          <w:i w:val="0"/>
          <w:color w:val="000000"/>
        </w:rPr>
      </w:pPr>
    </w:p>
    <w:p w:rsidR="00584DA1" w:rsidRDefault="00584DA1">
      <w:pPr>
        <w:pBdr>
          <w:top w:val="nil"/>
          <w:left w:val="nil"/>
          <w:bottom w:val="nil"/>
          <w:right w:val="nil"/>
          <w:between w:val="nil"/>
        </w:pBdr>
        <w:jc w:val="both"/>
        <w:rPr>
          <w:rFonts w:eastAsia="Arial"/>
          <w:i w:val="0"/>
          <w:color w:val="000000"/>
        </w:rPr>
      </w:pPr>
    </w:p>
    <w:p w:rsidR="00584DA1" w:rsidRDefault="00584DA1">
      <w:pPr>
        <w:pBdr>
          <w:top w:val="nil"/>
          <w:left w:val="nil"/>
          <w:bottom w:val="nil"/>
          <w:right w:val="nil"/>
          <w:between w:val="nil"/>
        </w:pBdr>
        <w:jc w:val="both"/>
        <w:rPr>
          <w:rFonts w:eastAsia="Arial"/>
          <w:i w:val="0"/>
          <w:color w:val="000000"/>
        </w:rPr>
      </w:pPr>
    </w:p>
    <w:tbl>
      <w:tblPr>
        <w:tblStyle w:val="af3"/>
        <w:tblW w:w="9566" w:type="dxa"/>
        <w:tblInd w:w="-216" w:type="dxa"/>
        <w:tblLayout w:type="fixed"/>
        <w:tblLook w:val="0000" w:firstRow="0" w:lastRow="0" w:firstColumn="0" w:lastColumn="0" w:noHBand="0" w:noVBand="0"/>
      </w:tblPr>
      <w:tblGrid>
        <w:gridCol w:w="9566"/>
      </w:tblGrid>
      <w:tr w:rsidR="00584DA1" w:rsidTr="00C94026">
        <w:trPr>
          <w:trHeight w:val="709"/>
        </w:trPr>
        <w:tc>
          <w:tcPr>
            <w:tcW w:w="9566" w:type="dxa"/>
            <w:shd w:val="clear" w:color="auto" w:fill="00B0F0"/>
          </w:tcPr>
          <w:p w:rsidR="00584DA1" w:rsidRDefault="002A35DC">
            <w:pPr>
              <w:pBdr>
                <w:top w:val="nil"/>
                <w:left w:val="nil"/>
                <w:bottom w:val="nil"/>
                <w:right w:val="nil"/>
                <w:between w:val="nil"/>
              </w:pBdr>
              <w:jc w:val="both"/>
              <w:rPr>
                <w:rFonts w:eastAsia="Arial"/>
                <w:b/>
                <w:i w:val="0"/>
                <w:color w:val="FFFFFF"/>
                <w:sz w:val="24"/>
                <w:szCs w:val="24"/>
                <w:u w:val="single"/>
              </w:rPr>
            </w:pPr>
            <w:r>
              <w:rPr>
                <w:rFonts w:eastAsia="Arial"/>
                <w:b/>
                <w:i w:val="0"/>
                <w:color w:val="FFFFFF"/>
                <w:sz w:val="24"/>
                <w:szCs w:val="24"/>
              </w:rPr>
              <w:t xml:space="preserve">Anexo XII.- Desglose costes </w:t>
            </w:r>
          </w:p>
        </w:tc>
      </w:tr>
    </w:tbl>
    <w:p w:rsidR="00584DA1" w:rsidRDefault="00584DA1">
      <w:pPr>
        <w:pBdr>
          <w:top w:val="nil"/>
          <w:left w:val="nil"/>
          <w:bottom w:val="nil"/>
          <w:right w:val="nil"/>
          <w:between w:val="nil"/>
        </w:pBdr>
        <w:jc w:val="both"/>
        <w:rPr>
          <w:rFonts w:eastAsia="Arial"/>
          <w:i w:val="0"/>
          <w:color w:val="000000"/>
        </w:rPr>
      </w:pPr>
    </w:p>
    <w:p w:rsidR="00584DA1" w:rsidRDefault="00584DA1">
      <w:pPr>
        <w:pBdr>
          <w:top w:val="nil"/>
          <w:left w:val="nil"/>
          <w:bottom w:val="nil"/>
          <w:right w:val="nil"/>
          <w:between w:val="nil"/>
        </w:pBdr>
        <w:jc w:val="both"/>
        <w:rPr>
          <w:rFonts w:eastAsia="Arial"/>
          <w:i w:val="0"/>
          <w:color w:val="000000"/>
        </w:rPr>
      </w:pPr>
    </w:p>
    <w:p w:rsidR="00584DA1" w:rsidRDefault="00584DA1">
      <w:pPr>
        <w:pBdr>
          <w:top w:val="nil"/>
          <w:left w:val="nil"/>
          <w:bottom w:val="nil"/>
          <w:right w:val="nil"/>
          <w:between w:val="nil"/>
        </w:pBdr>
        <w:jc w:val="both"/>
        <w:rPr>
          <w:rFonts w:eastAsia="Arial"/>
          <w:i w:val="0"/>
          <w:color w:val="000000"/>
        </w:rPr>
      </w:pPr>
    </w:p>
    <w:p w:rsidR="00394860" w:rsidRPr="00394860" w:rsidRDefault="00394860" w:rsidP="00394860">
      <w:pPr>
        <w:jc w:val="both"/>
        <w:rPr>
          <w:rFonts w:ascii="Times New Roman" w:hAnsi="Times New Roman" w:cs="Times New Roman"/>
          <w:i w:val="0"/>
          <w:sz w:val="24"/>
          <w:szCs w:val="24"/>
          <w:lang w:eastAsia="es-ES"/>
        </w:rPr>
      </w:pPr>
      <w:r w:rsidRPr="00394860">
        <w:rPr>
          <w:b/>
          <w:bCs/>
          <w:i w:val="0"/>
          <w:color w:val="000000"/>
          <w:sz w:val="22"/>
          <w:szCs w:val="22"/>
          <w:lang w:eastAsia="es-ES"/>
        </w:rPr>
        <w:t>DETERMINACIÓN DEL PRESUPUESTO BASE DE LICITACIÓN</w:t>
      </w:r>
    </w:p>
    <w:p w:rsidR="00394860" w:rsidRPr="00394860" w:rsidRDefault="00394860" w:rsidP="00394860">
      <w:pPr>
        <w:rPr>
          <w:rFonts w:ascii="Times New Roman" w:hAnsi="Times New Roman" w:cs="Times New Roman"/>
          <w:i w:val="0"/>
          <w:sz w:val="24"/>
          <w:szCs w:val="24"/>
          <w:lang w:eastAsia="es-ES"/>
        </w:rPr>
      </w:pPr>
    </w:p>
    <w:p w:rsidR="00394860" w:rsidRPr="00394860" w:rsidRDefault="00394860" w:rsidP="00394860">
      <w:pPr>
        <w:ind w:left="-2" w:hanging="2"/>
        <w:jc w:val="both"/>
        <w:rPr>
          <w:rFonts w:ascii="Times New Roman" w:hAnsi="Times New Roman" w:cs="Times New Roman"/>
          <w:i w:val="0"/>
          <w:sz w:val="24"/>
          <w:szCs w:val="24"/>
          <w:lang w:eastAsia="es-ES"/>
        </w:rPr>
      </w:pPr>
      <w:r w:rsidRPr="00394860">
        <w:rPr>
          <w:i w:val="0"/>
          <w:color w:val="000000"/>
          <w:sz w:val="22"/>
          <w:szCs w:val="22"/>
          <w:lang w:eastAsia="es-ES"/>
        </w:rPr>
        <w:t>Para la determinación del Presupuesto Base de Licitación antes indicado se han tenido en cuenta los siguientes conceptos:</w:t>
      </w:r>
    </w:p>
    <w:p w:rsidR="00394860" w:rsidRPr="00394860" w:rsidRDefault="00394860" w:rsidP="00394860">
      <w:pPr>
        <w:rPr>
          <w:rFonts w:ascii="Times New Roman" w:hAnsi="Times New Roman" w:cs="Times New Roman"/>
          <w:i w:val="0"/>
          <w:sz w:val="24"/>
          <w:szCs w:val="24"/>
          <w:lang w:eastAsia="es-ES"/>
        </w:rPr>
      </w:pPr>
    </w:p>
    <w:p w:rsidR="00394860" w:rsidRPr="00394860" w:rsidRDefault="00394860" w:rsidP="00394860">
      <w:pPr>
        <w:ind w:left="-2" w:hanging="2"/>
        <w:jc w:val="both"/>
        <w:rPr>
          <w:rFonts w:ascii="Times New Roman" w:hAnsi="Times New Roman" w:cs="Times New Roman"/>
          <w:i w:val="0"/>
          <w:sz w:val="24"/>
          <w:szCs w:val="24"/>
          <w:lang w:eastAsia="es-ES"/>
        </w:rPr>
      </w:pPr>
      <w:r w:rsidRPr="00394860">
        <w:rPr>
          <w:b/>
          <w:bCs/>
          <w:i w:val="0"/>
          <w:color w:val="000000"/>
          <w:sz w:val="22"/>
          <w:szCs w:val="22"/>
          <w:lang w:eastAsia="es-ES"/>
        </w:rPr>
        <w:t>Costes Directos</w:t>
      </w:r>
      <w:r w:rsidRPr="00394860">
        <w:rPr>
          <w:i w:val="0"/>
          <w:color w:val="000000"/>
          <w:sz w:val="22"/>
          <w:szCs w:val="22"/>
          <w:lang w:eastAsia="es-ES"/>
        </w:rPr>
        <w:t>: Se consideran Costes Directos y su desglose en las diferentes partidas de coste económico, que suponen un</w:t>
      </w:r>
      <w:r w:rsidRPr="00394860">
        <w:rPr>
          <w:b/>
          <w:bCs/>
          <w:i w:val="0"/>
          <w:color w:val="000000"/>
          <w:sz w:val="22"/>
          <w:szCs w:val="22"/>
          <w:lang w:eastAsia="es-ES"/>
        </w:rPr>
        <w:t xml:space="preserve"> 81%:</w:t>
      </w:r>
    </w:p>
    <w:p w:rsidR="00394860" w:rsidRPr="00394860" w:rsidRDefault="00394860" w:rsidP="00394860">
      <w:pPr>
        <w:rPr>
          <w:rFonts w:ascii="Times New Roman" w:hAnsi="Times New Roman" w:cs="Times New Roman"/>
          <w:i w:val="0"/>
          <w:sz w:val="24"/>
          <w:szCs w:val="24"/>
          <w:lang w:eastAsia="es-ES"/>
        </w:rPr>
      </w:pPr>
    </w:p>
    <w:p w:rsidR="00394860" w:rsidRPr="00394860" w:rsidRDefault="00394860" w:rsidP="00394860">
      <w:pPr>
        <w:ind w:left="-2" w:hanging="2"/>
        <w:jc w:val="both"/>
        <w:rPr>
          <w:rFonts w:ascii="Times New Roman" w:hAnsi="Times New Roman" w:cs="Times New Roman"/>
          <w:i w:val="0"/>
          <w:sz w:val="24"/>
          <w:szCs w:val="24"/>
          <w:lang w:eastAsia="es-ES"/>
        </w:rPr>
      </w:pPr>
      <w:r w:rsidRPr="00394860">
        <w:rPr>
          <w:i w:val="0"/>
          <w:color w:val="000000"/>
          <w:sz w:val="22"/>
          <w:szCs w:val="22"/>
          <w:lang w:eastAsia="es-ES"/>
        </w:rPr>
        <w:t>Precio del producto </w:t>
      </w:r>
    </w:p>
    <w:p w:rsidR="00394860" w:rsidRPr="00394860" w:rsidRDefault="00394860" w:rsidP="00394860">
      <w:pPr>
        <w:ind w:left="-2" w:hanging="2"/>
        <w:jc w:val="both"/>
        <w:rPr>
          <w:rFonts w:ascii="Times New Roman" w:hAnsi="Times New Roman" w:cs="Times New Roman"/>
          <w:i w:val="0"/>
          <w:sz w:val="24"/>
          <w:szCs w:val="24"/>
          <w:lang w:eastAsia="es-ES"/>
        </w:rPr>
      </w:pPr>
      <w:r w:rsidRPr="00394860">
        <w:rPr>
          <w:i w:val="0"/>
          <w:color w:val="000000"/>
          <w:sz w:val="22"/>
          <w:szCs w:val="22"/>
          <w:lang w:eastAsia="es-ES"/>
        </w:rPr>
        <w:t>Coste de transporte</w:t>
      </w:r>
    </w:p>
    <w:p w:rsidR="00394860" w:rsidRPr="00394860" w:rsidRDefault="00394860" w:rsidP="00394860">
      <w:pPr>
        <w:ind w:left="-2" w:hanging="2"/>
        <w:jc w:val="both"/>
        <w:rPr>
          <w:rFonts w:ascii="Times New Roman" w:hAnsi="Times New Roman" w:cs="Times New Roman"/>
          <w:i w:val="0"/>
          <w:sz w:val="24"/>
          <w:szCs w:val="24"/>
          <w:lang w:eastAsia="es-ES"/>
        </w:rPr>
      </w:pPr>
      <w:r w:rsidRPr="00394860">
        <w:rPr>
          <w:i w:val="0"/>
          <w:color w:val="000000"/>
          <w:sz w:val="22"/>
          <w:szCs w:val="22"/>
          <w:lang w:eastAsia="es-ES"/>
        </w:rPr>
        <w:t>Coste de Formación sobre el producto</w:t>
      </w:r>
    </w:p>
    <w:p w:rsidR="00394860" w:rsidRPr="00394860" w:rsidRDefault="00394860" w:rsidP="00394860">
      <w:pPr>
        <w:rPr>
          <w:rFonts w:ascii="Times New Roman" w:hAnsi="Times New Roman" w:cs="Times New Roman"/>
          <w:i w:val="0"/>
          <w:sz w:val="24"/>
          <w:szCs w:val="24"/>
          <w:lang w:eastAsia="es-ES"/>
        </w:rPr>
      </w:pPr>
    </w:p>
    <w:p w:rsidR="00394860" w:rsidRPr="00394860" w:rsidRDefault="00394860" w:rsidP="00394860">
      <w:pPr>
        <w:ind w:left="-2" w:hanging="2"/>
        <w:jc w:val="both"/>
        <w:rPr>
          <w:rFonts w:ascii="Times New Roman" w:hAnsi="Times New Roman" w:cs="Times New Roman"/>
          <w:i w:val="0"/>
          <w:sz w:val="24"/>
          <w:szCs w:val="24"/>
          <w:lang w:eastAsia="es-ES"/>
        </w:rPr>
      </w:pPr>
      <w:r w:rsidRPr="00394860">
        <w:rPr>
          <w:b/>
          <w:bCs/>
          <w:i w:val="0"/>
          <w:color w:val="000000"/>
          <w:sz w:val="22"/>
          <w:szCs w:val="22"/>
          <w:lang w:eastAsia="es-ES"/>
        </w:rPr>
        <w:t>Costes Indirectos</w:t>
      </w:r>
      <w:r w:rsidRPr="00394860">
        <w:rPr>
          <w:i w:val="0"/>
          <w:color w:val="000000"/>
          <w:sz w:val="22"/>
          <w:szCs w:val="22"/>
          <w:lang w:eastAsia="es-ES"/>
        </w:rPr>
        <w:t xml:space="preserve">: Se entenderán como tales, en este caso, los Costes de Gestión que suponen un </w:t>
      </w:r>
      <w:r w:rsidRPr="00394860">
        <w:rPr>
          <w:b/>
          <w:bCs/>
          <w:i w:val="0"/>
          <w:color w:val="000000"/>
          <w:sz w:val="22"/>
          <w:szCs w:val="22"/>
          <w:lang w:eastAsia="es-ES"/>
        </w:rPr>
        <w:t>13%.</w:t>
      </w:r>
    </w:p>
    <w:p w:rsidR="00394860" w:rsidRPr="00394860" w:rsidRDefault="00394860" w:rsidP="00394860">
      <w:pPr>
        <w:rPr>
          <w:rFonts w:ascii="Times New Roman" w:hAnsi="Times New Roman" w:cs="Times New Roman"/>
          <w:i w:val="0"/>
          <w:sz w:val="24"/>
          <w:szCs w:val="24"/>
          <w:lang w:eastAsia="es-ES"/>
        </w:rPr>
      </w:pPr>
    </w:p>
    <w:p w:rsidR="00584DA1" w:rsidRDefault="00394860" w:rsidP="007435F4">
      <w:pPr>
        <w:spacing w:after="200"/>
        <w:ind w:left="-2" w:hanging="2"/>
        <w:jc w:val="both"/>
        <w:rPr>
          <w:rFonts w:eastAsia="Arial"/>
          <w:i w:val="0"/>
          <w:color w:val="000000"/>
        </w:rPr>
      </w:pPr>
      <w:r w:rsidRPr="00394860">
        <w:rPr>
          <w:b/>
          <w:bCs/>
          <w:i w:val="0"/>
          <w:color w:val="000000"/>
          <w:sz w:val="22"/>
          <w:szCs w:val="22"/>
          <w:lang w:eastAsia="es-ES"/>
        </w:rPr>
        <w:t>Beneficio Comercial</w:t>
      </w:r>
      <w:r w:rsidRPr="00394860">
        <w:rPr>
          <w:i w:val="0"/>
          <w:color w:val="000000"/>
          <w:sz w:val="22"/>
          <w:szCs w:val="22"/>
          <w:lang w:eastAsia="es-ES"/>
        </w:rPr>
        <w:t xml:space="preserve">: Se considerará un beneficio comercial del </w:t>
      </w:r>
      <w:r w:rsidRPr="00394860">
        <w:rPr>
          <w:b/>
          <w:bCs/>
          <w:i w:val="0"/>
          <w:color w:val="000000"/>
          <w:sz w:val="22"/>
          <w:szCs w:val="22"/>
          <w:lang w:eastAsia="es-ES"/>
        </w:rPr>
        <w:t>6%.</w:t>
      </w:r>
      <w:bookmarkStart w:id="14" w:name="_GoBack"/>
      <w:bookmarkEnd w:id="14"/>
    </w:p>
    <w:p w:rsidR="00584DA1" w:rsidRDefault="00584DA1">
      <w:pPr>
        <w:pBdr>
          <w:top w:val="nil"/>
          <w:left w:val="nil"/>
          <w:bottom w:val="nil"/>
          <w:right w:val="nil"/>
          <w:between w:val="nil"/>
        </w:pBdr>
        <w:jc w:val="both"/>
        <w:rPr>
          <w:rFonts w:eastAsia="Arial"/>
          <w:i w:val="0"/>
          <w:color w:val="000000"/>
        </w:rPr>
      </w:pPr>
    </w:p>
    <w:p w:rsidR="00584DA1" w:rsidRDefault="00584DA1">
      <w:pPr>
        <w:pBdr>
          <w:top w:val="nil"/>
          <w:left w:val="nil"/>
          <w:bottom w:val="nil"/>
          <w:right w:val="nil"/>
          <w:between w:val="nil"/>
        </w:pBdr>
        <w:jc w:val="both"/>
        <w:rPr>
          <w:rFonts w:eastAsia="Arial"/>
          <w:i w:val="0"/>
          <w:color w:val="000000"/>
        </w:rPr>
      </w:pPr>
    </w:p>
    <w:p w:rsidR="00584DA1" w:rsidRDefault="00584DA1">
      <w:pPr>
        <w:pBdr>
          <w:top w:val="nil"/>
          <w:left w:val="nil"/>
          <w:bottom w:val="nil"/>
          <w:right w:val="nil"/>
          <w:between w:val="nil"/>
        </w:pBdr>
        <w:jc w:val="both"/>
        <w:rPr>
          <w:rFonts w:eastAsia="Arial"/>
          <w:i w:val="0"/>
          <w:color w:val="000000"/>
        </w:rPr>
      </w:pPr>
    </w:p>
    <w:p w:rsidR="00584DA1" w:rsidRDefault="00584DA1">
      <w:pPr>
        <w:pBdr>
          <w:top w:val="nil"/>
          <w:left w:val="nil"/>
          <w:bottom w:val="nil"/>
          <w:right w:val="nil"/>
          <w:between w:val="nil"/>
        </w:pBdr>
        <w:jc w:val="both"/>
        <w:rPr>
          <w:rFonts w:eastAsia="Arial"/>
          <w:i w:val="0"/>
          <w:color w:val="000000"/>
        </w:rPr>
      </w:pPr>
    </w:p>
    <w:p w:rsidR="00584DA1" w:rsidRDefault="00584DA1">
      <w:pPr>
        <w:pBdr>
          <w:top w:val="nil"/>
          <w:left w:val="nil"/>
          <w:bottom w:val="nil"/>
          <w:right w:val="nil"/>
          <w:between w:val="nil"/>
        </w:pBdr>
        <w:ind w:left="708" w:hanging="708"/>
        <w:jc w:val="both"/>
        <w:rPr>
          <w:rFonts w:eastAsia="Arial"/>
          <w:i w:val="0"/>
          <w:color w:val="000000"/>
        </w:rPr>
      </w:pPr>
    </w:p>
    <w:sectPr w:rsidR="00584DA1">
      <w:pgSz w:w="11906" w:h="16838"/>
      <w:pgMar w:top="992" w:right="1276" w:bottom="1418"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EC0" w:rsidRDefault="002A35DC">
      <w:r>
        <w:separator/>
      </w:r>
    </w:p>
  </w:endnote>
  <w:endnote w:type="continuationSeparator" w:id="0">
    <w:p w:rsidR="00421EC0" w:rsidRDefault="002A3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EC0" w:rsidRDefault="002A35DC">
      <w:r>
        <w:separator/>
      </w:r>
    </w:p>
  </w:footnote>
  <w:footnote w:type="continuationSeparator" w:id="0">
    <w:p w:rsidR="00421EC0" w:rsidRDefault="002A35DC">
      <w:r>
        <w:continuationSeparator/>
      </w:r>
    </w:p>
  </w:footnote>
  <w:footnote w:id="1">
    <w:p w:rsidR="00584DA1" w:rsidRDefault="002A35DC">
      <w:pPr>
        <w:tabs>
          <w:tab w:val="left" w:pos="-720"/>
          <w:tab w:val="left" w:pos="0"/>
          <w:tab w:val="left" w:pos="720"/>
          <w:tab w:val="left" w:pos="1440"/>
          <w:tab w:val="left" w:pos="2160"/>
          <w:tab w:val="left" w:pos="2880"/>
          <w:tab w:val="left" w:pos="3600"/>
          <w:tab w:val="left" w:pos="4320"/>
        </w:tabs>
        <w:ind w:left="2" w:hanging="2"/>
        <w:jc w:val="both"/>
      </w:pPr>
      <w:r>
        <w:rPr>
          <w:vertAlign w:val="superscript"/>
        </w:rPr>
        <w:footnoteRef/>
      </w:r>
      <w:r>
        <w:rPr>
          <w:sz w:val="16"/>
          <w:szCs w:val="16"/>
        </w:rPr>
        <w:tab/>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584DA1" w:rsidRDefault="002A35DC">
      <w:pPr>
        <w:tabs>
          <w:tab w:val="left" w:pos="-720"/>
          <w:tab w:val="left" w:pos="0"/>
          <w:tab w:val="left" w:pos="720"/>
          <w:tab w:val="left" w:pos="1440"/>
          <w:tab w:val="left" w:pos="2160"/>
          <w:tab w:val="left" w:pos="2880"/>
          <w:tab w:val="left" w:pos="3600"/>
          <w:tab w:val="left" w:pos="4320"/>
        </w:tabs>
        <w:ind w:left="2" w:hanging="2"/>
        <w:jc w:val="both"/>
        <w:rPr>
          <w:sz w:val="16"/>
          <w:szCs w:val="16"/>
        </w:rPr>
      </w:pPr>
      <w:r>
        <w:rPr>
          <w:sz w:val="16"/>
          <w:szCs w:val="16"/>
        </w:rPr>
        <w:tab/>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584DA1" w:rsidRDefault="002A35DC">
      <w:pPr>
        <w:tabs>
          <w:tab w:val="left" w:pos="-720"/>
          <w:tab w:val="left" w:pos="0"/>
          <w:tab w:val="left" w:pos="720"/>
          <w:tab w:val="left" w:pos="1440"/>
          <w:tab w:val="left" w:pos="2160"/>
          <w:tab w:val="left" w:pos="2880"/>
          <w:tab w:val="left" w:pos="3600"/>
          <w:tab w:val="left" w:pos="4320"/>
        </w:tabs>
        <w:ind w:left="2" w:hanging="2"/>
        <w:jc w:val="both"/>
        <w:rPr>
          <w:sz w:val="16"/>
          <w:szCs w:val="16"/>
        </w:rPr>
      </w:pPr>
      <w:r>
        <w:rPr>
          <w:sz w:val="16"/>
          <w:szCs w:val="16"/>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584DA1" w:rsidRDefault="002A35DC">
      <w:pPr>
        <w:tabs>
          <w:tab w:val="left" w:pos="-720"/>
          <w:tab w:val="left" w:pos="0"/>
          <w:tab w:val="left" w:pos="720"/>
          <w:tab w:val="left" w:pos="1440"/>
          <w:tab w:val="left" w:pos="2160"/>
          <w:tab w:val="left" w:pos="2880"/>
          <w:tab w:val="left" w:pos="3600"/>
          <w:tab w:val="left" w:pos="4320"/>
        </w:tabs>
        <w:ind w:left="2" w:hanging="2"/>
        <w:jc w:val="both"/>
        <w:rPr>
          <w:sz w:val="16"/>
          <w:szCs w:val="16"/>
        </w:rPr>
      </w:pPr>
      <w:r>
        <w:rPr>
          <w:sz w:val="16"/>
          <w:szCs w:val="16"/>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6"/>
          <w:szCs w:val="16"/>
        </w:rPr>
        <w:t>Asepeyo</w:t>
      </w:r>
      <w:proofErr w:type="spellEnd"/>
      <w:r>
        <w:rPr>
          <w:sz w:val="16"/>
          <w:szCs w:val="16"/>
        </w:rPr>
        <w:t>, a través del Servicio de Atención al Usuario (SAU), por alguno de los siguientes medios, acompañando copia de su  DNI o documento identificativo equivalente:</w:t>
      </w:r>
    </w:p>
    <w:p w:rsidR="00584DA1" w:rsidRDefault="002A35DC">
      <w:pPr>
        <w:numPr>
          <w:ilvl w:val="0"/>
          <w:numId w:val="4"/>
        </w:numPr>
        <w:tabs>
          <w:tab w:val="left" w:pos="-720"/>
          <w:tab w:val="left" w:pos="0"/>
          <w:tab w:val="left" w:pos="720"/>
          <w:tab w:val="left" w:pos="1440"/>
          <w:tab w:val="left" w:pos="2160"/>
          <w:tab w:val="left" w:pos="2880"/>
          <w:tab w:val="left" w:pos="3600"/>
          <w:tab w:val="left" w:pos="4320"/>
        </w:tabs>
        <w:ind w:left="2" w:hanging="2"/>
        <w:jc w:val="both"/>
        <w:rPr>
          <w:i w:val="0"/>
          <w:sz w:val="18"/>
          <w:szCs w:val="18"/>
        </w:rPr>
      </w:pPr>
      <w:r>
        <w:rPr>
          <w:sz w:val="16"/>
          <w:szCs w:val="16"/>
        </w:rPr>
        <w:tab/>
        <w:t xml:space="preserve">Mediante correo electrónico que deberá enviar a la dirección </w:t>
      </w:r>
      <w:hyperlink r:id="rId1">
        <w:r>
          <w:rPr>
            <w:color w:val="0000FF"/>
            <w:sz w:val="16"/>
            <w:szCs w:val="16"/>
            <w:u w:val="single"/>
          </w:rPr>
          <w:t>asepeyo@asepeyo.es</w:t>
        </w:r>
      </w:hyperlink>
    </w:p>
    <w:p w:rsidR="00584DA1" w:rsidRDefault="002A35DC">
      <w:pPr>
        <w:numPr>
          <w:ilvl w:val="0"/>
          <w:numId w:val="4"/>
        </w:numPr>
        <w:tabs>
          <w:tab w:val="left" w:pos="-720"/>
          <w:tab w:val="left" w:pos="0"/>
          <w:tab w:val="left" w:pos="720"/>
          <w:tab w:val="left" w:pos="1440"/>
          <w:tab w:val="left" w:pos="2160"/>
          <w:tab w:val="left" w:pos="2880"/>
          <w:tab w:val="left" w:pos="3600"/>
          <w:tab w:val="left" w:pos="4320"/>
        </w:tabs>
        <w:ind w:left="2" w:hanging="2"/>
        <w:jc w:val="both"/>
        <w:rPr>
          <w:i w:val="0"/>
          <w:sz w:val="18"/>
          <w:szCs w:val="18"/>
        </w:rPr>
      </w:pPr>
      <w:r>
        <w:rPr>
          <w:sz w:val="16"/>
          <w:szCs w:val="16"/>
        </w:rPr>
        <w:tab/>
        <w:t xml:space="preserve">Correo postal dirigido a </w:t>
      </w:r>
      <w:proofErr w:type="spellStart"/>
      <w:r>
        <w:rPr>
          <w:sz w:val="16"/>
          <w:szCs w:val="16"/>
        </w:rPr>
        <w:t>Asepeyo</w:t>
      </w:r>
      <w:proofErr w:type="spellEnd"/>
      <w:r>
        <w:rPr>
          <w:sz w:val="16"/>
          <w:szCs w:val="16"/>
        </w:rPr>
        <w:t xml:space="preserve">, con dirección en Vía Augusta nº 36 08006 Barcelona o presentándose en uno de los centros asistenciales de </w:t>
      </w:r>
      <w:proofErr w:type="spellStart"/>
      <w:r>
        <w:rPr>
          <w:sz w:val="16"/>
          <w:szCs w:val="16"/>
        </w:rPr>
        <w:t>Asepeyo</w:t>
      </w:r>
      <w:proofErr w:type="spellEnd"/>
    </w:p>
    <w:p w:rsidR="00584DA1" w:rsidRDefault="002A35DC">
      <w:pPr>
        <w:tabs>
          <w:tab w:val="left" w:pos="-720"/>
          <w:tab w:val="left" w:pos="0"/>
          <w:tab w:val="left" w:pos="720"/>
          <w:tab w:val="left" w:pos="1440"/>
          <w:tab w:val="left" w:pos="2160"/>
          <w:tab w:val="left" w:pos="2880"/>
          <w:tab w:val="left" w:pos="3600"/>
          <w:tab w:val="left" w:pos="4320"/>
        </w:tabs>
        <w:ind w:left="2" w:hanging="2"/>
        <w:jc w:val="both"/>
        <w:rPr>
          <w:sz w:val="16"/>
          <w:szCs w:val="16"/>
        </w:rPr>
      </w:pPr>
      <w:r>
        <w:rPr>
          <w:sz w:val="16"/>
          <w:szCs w:val="16"/>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2C2E"/>
    <w:multiLevelType w:val="multilevel"/>
    <w:tmpl w:val="1E0617B4"/>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08D61A71"/>
    <w:multiLevelType w:val="multilevel"/>
    <w:tmpl w:val="0CBC0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F03F0E"/>
    <w:multiLevelType w:val="multilevel"/>
    <w:tmpl w:val="64CC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E34CA"/>
    <w:multiLevelType w:val="multilevel"/>
    <w:tmpl w:val="ACF6F8EA"/>
    <w:lvl w:ilvl="0">
      <w:start w:val="1"/>
      <w:numFmt w:val="decimal"/>
      <w:pStyle w:val="T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1A2537B3"/>
    <w:multiLevelType w:val="hybridMultilevel"/>
    <w:tmpl w:val="1F08E7FC"/>
    <w:lvl w:ilvl="0" w:tplc="3DE276A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A4E59C7"/>
    <w:multiLevelType w:val="multilevel"/>
    <w:tmpl w:val="EE248A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1038D9"/>
    <w:multiLevelType w:val="multilevel"/>
    <w:tmpl w:val="19A2E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C36D88"/>
    <w:multiLevelType w:val="multilevel"/>
    <w:tmpl w:val="95B82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EA2DA8"/>
    <w:multiLevelType w:val="multilevel"/>
    <w:tmpl w:val="8A24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52591F"/>
    <w:multiLevelType w:val="multilevel"/>
    <w:tmpl w:val="AA6A45F8"/>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0">
    <w:nsid w:val="422A7FF5"/>
    <w:multiLevelType w:val="multilevel"/>
    <w:tmpl w:val="473AD8D6"/>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453676C8"/>
    <w:multiLevelType w:val="multilevel"/>
    <w:tmpl w:val="505A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650110"/>
    <w:multiLevelType w:val="multilevel"/>
    <w:tmpl w:val="EF14502C"/>
    <w:lvl w:ilvl="0">
      <w:start w:val="1"/>
      <w:numFmt w:val="decimal"/>
      <w:lvlText w:val="%1."/>
      <w:lvlJc w:val="left"/>
      <w:pPr>
        <w:ind w:left="720" w:hanging="360"/>
      </w:pPr>
      <w:rPr>
        <w:rFonts w:ascii="Arial" w:eastAsia="Arial" w:hAnsi="Arial" w:cs="Arial"/>
        <w:b/>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3">
    <w:nsid w:val="45BA3C50"/>
    <w:multiLevelType w:val="multilevel"/>
    <w:tmpl w:val="2FF05CEA"/>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4">
    <w:nsid w:val="4A7110BA"/>
    <w:multiLevelType w:val="multilevel"/>
    <w:tmpl w:val="DF3A2E8E"/>
    <w:lvl w:ilvl="0">
      <w:start w:val="1"/>
      <w:numFmt w:val="decimal"/>
      <w:lvlText w:val="%1."/>
      <w:lvlJc w:val="left"/>
      <w:pPr>
        <w:ind w:left="928" w:hanging="360"/>
      </w:pPr>
      <w:rPr>
        <w:b/>
        <w:color w:val="0070C0"/>
        <w:sz w:val="22"/>
        <w:szCs w:val="22"/>
      </w:rPr>
    </w:lvl>
    <w:lvl w:ilvl="1">
      <w:start w:val="1"/>
      <w:numFmt w:val="decimal"/>
      <w:lvlText w:val="%1.%2"/>
      <w:lvlJc w:val="left"/>
      <w:pPr>
        <w:ind w:left="720" w:hanging="360"/>
      </w:pPr>
      <w:rPr>
        <w:b/>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nsid w:val="5F2C7506"/>
    <w:multiLevelType w:val="multilevel"/>
    <w:tmpl w:val="6BDEB8A8"/>
    <w:lvl w:ilvl="0">
      <w:start w:val="1"/>
      <w:numFmt w:val="lowerLetter"/>
      <w:lvlText w:val="%1)"/>
      <w:lvlJc w:val="left"/>
      <w:pPr>
        <w:ind w:left="720" w:hanging="360"/>
      </w:pPr>
      <w:rPr>
        <w:b/>
        <w:color w:val="1F497D"/>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nsid w:val="629B1E71"/>
    <w:multiLevelType w:val="multilevel"/>
    <w:tmpl w:val="10CA6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4B84529"/>
    <w:multiLevelType w:val="multilevel"/>
    <w:tmpl w:val="D358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58310A3"/>
    <w:multiLevelType w:val="multilevel"/>
    <w:tmpl w:val="060C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D6590A"/>
    <w:multiLevelType w:val="multilevel"/>
    <w:tmpl w:val="4276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9621F7"/>
    <w:multiLevelType w:val="multilevel"/>
    <w:tmpl w:val="5AC829CA"/>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2"/>
  </w:num>
  <w:num w:numId="2">
    <w:abstractNumId w:val="20"/>
  </w:num>
  <w:num w:numId="3">
    <w:abstractNumId w:val="14"/>
  </w:num>
  <w:num w:numId="4">
    <w:abstractNumId w:val="9"/>
  </w:num>
  <w:num w:numId="5">
    <w:abstractNumId w:val="13"/>
  </w:num>
  <w:num w:numId="6">
    <w:abstractNumId w:val="0"/>
  </w:num>
  <w:num w:numId="7">
    <w:abstractNumId w:val="15"/>
  </w:num>
  <w:num w:numId="8">
    <w:abstractNumId w:val="10"/>
  </w:num>
  <w:num w:numId="9">
    <w:abstractNumId w:val="3"/>
  </w:num>
  <w:num w:numId="10">
    <w:abstractNumId w:val="2"/>
  </w:num>
  <w:num w:numId="11">
    <w:abstractNumId w:val="8"/>
  </w:num>
  <w:num w:numId="12">
    <w:abstractNumId w:val="11"/>
  </w:num>
  <w:num w:numId="13">
    <w:abstractNumId w:val="1"/>
  </w:num>
  <w:num w:numId="14">
    <w:abstractNumId w:val="18"/>
  </w:num>
  <w:num w:numId="15">
    <w:abstractNumId w:val="19"/>
  </w:num>
  <w:num w:numId="16">
    <w:abstractNumId w:val="7"/>
  </w:num>
  <w:num w:numId="17">
    <w:abstractNumId w:val="17"/>
  </w:num>
  <w:num w:numId="18">
    <w:abstractNumId w:val="6"/>
  </w:num>
  <w:num w:numId="19">
    <w:abstractNumId w:val="16"/>
  </w:num>
  <w:num w:numId="20">
    <w:abstractNumId w:val="5"/>
    <w:lvlOverride w:ilvl="0">
      <w:lvl w:ilvl="0">
        <w:numFmt w:val="decimal"/>
        <w:lvlText w:val="%1."/>
        <w:lvlJc w:val="left"/>
      </w:lvl>
    </w:lvlOverride>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84DA1"/>
    <w:rsid w:val="00062E7F"/>
    <w:rsid w:val="000B04B4"/>
    <w:rsid w:val="002A35DC"/>
    <w:rsid w:val="00333ACE"/>
    <w:rsid w:val="00394860"/>
    <w:rsid w:val="004219F4"/>
    <w:rsid w:val="00421EC0"/>
    <w:rsid w:val="0043086F"/>
    <w:rsid w:val="00584DA1"/>
    <w:rsid w:val="00631683"/>
    <w:rsid w:val="006E73A4"/>
    <w:rsid w:val="007435F4"/>
    <w:rsid w:val="008F5A51"/>
    <w:rsid w:val="00B06ADC"/>
    <w:rsid w:val="00B5640D"/>
    <w:rsid w:val="00BD7862"/>
    <w:rsid w:val="00C010E2"/>
    <w:rsid w:val="00C94026"/>
    <w:rsid w:val="00D66F3B"/>
    <w:rsid w:val="00F16B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uiPriority w:val="99"/>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85"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3" w:type="dxa"/>
        <w:right w:w="108" w:type="dxa"/>
      </w:tblCellMar>
    </w:tblPr>
  </w:style>
  <w:style w:type="table" w:customStyle="1" w:styleId="aa">
    <w:basedOn w:val="TableNormal"/>
    <w:tblPr>
      <w:tblStyleRowBandSize w:val="1"/>
      <w:tblStyleColBandSize w:val="1"/>
      <w:tblCellMar>
        <w:left w:w="103"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character" w:customStyle="1" w:styleId="apple-tab-span">
    <w:name w:val="apple-tab-span"/>
    <w:basedOn w:val="Fuentedeprrafopredeter"/>
    <w:rsid w:val="00333A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uiPriority w:val="99"/>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85"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3" w:type="dxa"/>
        <w:right w:w="108" w:type="dxa"/>
      </w:tblCellMar>
    </w:tblPr>
  </w:style>
  <w:style w:type="table" w:customStyle="1" w:styleId="aa">
    <w:basedOn w:val="TableNormal"/>
    <w:tblPr>
      <w:tblStyleRowBandSize w:val="1"/>
      <w:tblStyleColBandSize w:val="1"/>
      <w:tblCellMar>
        <w:left w:w="103"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character" w:customStyle="1" w:styleId="apple-tab-span">
    <w:name w:val="apple-tab-span"/>
    <w:basedOn w:val="Fuentedeprrafopredeter"/>
    <w:rsid w:val="00333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338107">
      <w:bodyDiv w:val="1"/>
      <w:marLeft w:val="0"/>
      <w:marRight w:val="0"/>
      <w:marTop w:val="0"/>
      <w:marBottom w:val="0"/>
      <w:divBdr>
        <w:top w:val="none" w:sz="0" w:space="0" w:color="auto"/>
        <w:left w:val="none" w:sz="0" w:space="0" w:color="auto"/>
        <w:bottom w:val="none" w:sz="0" w:space="0" w:color="auto"/>
        <w:right w:val="none" w:sz="0" w:space="0" w:color="auto"/>
      </w:divBdr>
    </w:div>
    <w:div w:id="563419948">
      <w:bodyDiv w:val="1"/>
      <w:marLeft w:val="0"/>
      <w:marRight w:val="0"/>
      <w:marTop w:val="0"/>
      <w:marBottom w:val="0"/>
      <w:divBdr>
        <w:top w:val="none" w:sz="0" w:space="0" w:color="auto"/>
        <w:left w:val="none" w:sz="0" w:space="0" w:color="auto"/>
        <w:bottom w:val="none" w:sz="0" w:space="0" w:color="auto"/>
        <w:right w:val="none" w:sz="0" w:space="0" w:color="auto"/>
      </w:divBdr>
    </w:div>
    <w:div w:id="845900628">
      <w:bodyDiv w:val="1"/>
      <w:marLeft w:val="0"/>
      <w:marRight w:val="0"/>
      <w:marTop w:val="0"/>
      <w:marBottom w:val="0"/>
      <w:divBdr>
        <w:top w:val="none" w:sz="0" w:space="0" w:color="auto"/>
        <w:left w:val="none" w:sz="0" w:space="0" w:color="auto"/>
        <w:bottom w:val="none" w:sz="0" w:space="0" w:color="auto"/>
        <w:right w:val="none" w:sz="0" w:space="0" w:color="auto"/>
      </w:divBdr>
    </w:div>
    <w:div w:id="1576234163">
      <w:bodyDiv w:val="1"/>
      <w:marLeft w:val="0"/>
      <w:marRight w:val="0"/>
      <w:marTop w:val="0"/>
      <w:marBottom w:val="0"/>
      <w:divBdr>
        <w:top w:val="none" w:sz="0" w:space="0" w:color="auto"/>
        <w:left w:val="none" w:sz="0" w:space="0" w:color="auto"/>
        <w:bottom w:val="none" w:sz="0" w:space="0" w:color="auto"/>
        <w:right w:val="none" w:sz="0" w:space="0" w:color="auto"/>
      </w:divBdr>
    </w:div>
    <w:div w:id="2126998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UqzwQjtcQLsQjTASYvy+kQoISw==">AMUW2mWieJf7kKPGzPcfZ6obrxQ2lumjBSEMYFFtEV//uMPvk8ARfTrKkStp9hvbifkyhLRjAG6X16SdcLfnX5SKQteG8V0XyoJBYWfnLl8J/v6QWnJqLq0ng7TFaHo5JEow7d10E4EJs0JbO9FaLKi440lf/Omi3dbvRNJFjFQRdUdZ8bVHPFSKauaghEcpghFs7+8p0eXUnAXjOEGrO+6Ri3OUW/gRKmvbTLSbOWnhcZrVFos3FNMXpxS0mwVzeVJE3iDL1TglllLTWjjaeo8zdM+HwsirBrsbyNIw5rFUyISmCIWIlCgZA9rrrVnxn00dtb/K3slGZPDvcWMs1YJBVWyYDDWFYt/hLLz/W0zvcwrrnk97sulahz8VeD/3NUhL3AjPy3TjCzqfZlKoa5ZpWoEXnvGMf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1A8D8B89</Template>
  <TotalTime>60</TotalTime>
  <Pages>19</Pages>
  <Words>3689</Words>
  <Characters>20292</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23934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JOSEP ILLA SARLAT</cp:lastModifiedBy>
  <cp:revision>27</cp:revision>
  <dcterms:created xsi:type="dcterms:W3CDTF">2023-01-20T12:49:00Z</dcterms:created>
  <dcterms:modified xsi:type="dcterms:W3CDTF">2023-03-14T12:42:00Z</dcterms:modified>
</cp:coreProperties>
</file>