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left="0" w:hanging="2"/>
        <w:rPr>
          <w:i w:val="0"/>
          <w:color w:val="000000"/>
          <w:sz w:val="22"/>
          <w:szCs w:val="22"/>
        </w:rPr>
      </w:pPr>
      <w:r w:rsidDel="00000000" w:rsidR="00000000" w:rsidRPr="00000000">
        <w:rPr>
          <w:rtl w:val="0"/>
        </w:rPr>
      </w:r>
    </w:p>
    <w:tbl>
      <w:tblPr>
        <w:tblStyle w:val="Table1"/>
        <w:tblW w:w="9639.0" w:type="dxa"/>
        <w:jc w:val="left"/>
        <w:tblInd w:w="-689.0" w:type="dxa"/>
        <w:tblLayout w:type="fixed"/>
        <w:tblLook w:val="0400"/>
      </w:tblPr>
      <w:tblGrid>
        <w:gridCol w:w="9639"/>
        <w:tblGridChange w:id="0">
          <w:tblGrid>
            <w:gridCol w:w="9639"/>
          </w:tblGrid>
        </w:tblGridChange>
      </w:tblGrid>
      <w:tr>
        <w:trPr>
          <w:cantSplit w:val="0"/>
          <w:trHeight w:val="882"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ind w:left="0" w:hanging="2"/>
              <w:jc w:val="both"/>
              <w:rPr>
                <w:b w:val="1"/>
                <w:color w:val="ffffff"/>
                <w:sz w:val="24"/>
                <w:szCs w:val="24"/>
              </w:rPr>
            </w:pPr>
            <w:r w:rsidDel="00000000" w:rsidR="00000000" w:rsidRPr="00000000">
              <w:rPr>
                <w:b w:val="1"/>
                <w:i w:val="0"/>
                <w:color w:val="ffffff"/>
                <w:sz w:val="24"/>
                <w:szCs w:val="24"/>
                <w:rtl w:val="0"/>
              </w:rPr>
              <w:t xml:space="preserve">SUBCONTRATACIÓN Y JUSTIFICACIÓN LOTE ÚNICO</w:t>
            </w:r>
            <w:r w:rsidDel="00000000" w:rsidR="00000000" w:rsidRPr="00000000">
              <w:rPr>
                <w:rtl w:val="0"/>
              </w:rPr>
            </w:r>
          </w:p>
          <w:p w:rsidR="00000000" w:rsidDel="00000000" w:rsidP="00000000" w:rsidRDefault="00000000" w:rsidRPr="00000000" w14:paraId="00000003">
            <w:pPr>
              <w:spacing w:line="240" w:lineRule="auto"/>
              <w:ind w:left="0" w:hanging="2"/>
              <w:jc w:val="right"/>
              <w:rPr>
                <w:i w:val="0"/>
                <w:color w:val="ffffff"/>
                <w:sz w:val="22"/>
                <w:szCs w:val="22"/>
              </w:rPr>
            </w:pPr>
            <w:r w:rsidDel="00000000" w:rsidR="00000000" w:rsidRPr="00000000">
              <w:rPr>
                <w:b w:val="1"/>
                <w:i w:val="0"/>
                <w:color w:val="ffffff"/>
                <w:sz w:val="22"/>
                <w:szCs w:val="22"/>
                <w:rtl w:val="0"/>
              </w:rPr>
              <w:t xml:space="preserve">Exp. CP00194/2024</w:t>
            </w:r>
            <w:r w:rsidDel="00000000" w:rsidR="00000000" w:rsidRPr="00000000">
              <w:rPr>
                <w:rtl w:val="0"/>
              </w:rPr>
            </w:r>
          </w:p>
          <w:p w:rsidR="00000000" w:rsidDel="00000000" w:rsidP="00000000" w:rsidRDefault="00000000" w:rsidRPr="00000000" w14:paraId="00000004">
            <w:pPr>
              <w:spacing w:line="240" w:lineRule="auto"/>
              <w:ind w:left="0" w:hanging="2"/>
              <w:jc w:val="both"/>
              <w:rPr>
                <w:b w:val="1"/>
                <w:i w:val="0"/>
                <w:color w:val="ffffff"/>
                <w:sz w:val="22"/>
                <w:szCs w:val="22"/>
              </w:rPr>
            </w:pPr>
            <w:r w:rsidDel="00000000" w:rsidR="00000000" w:rsidRPr="00000000">
              <w:rPr>
                <w:rtl w:val="0"/>
              </w:rPr>
            </w:r>
          </w:p>
          <w:p w:rsidR="00000000" w:rsidDel="00000000" w:rsidP="00000000" w:rsidRDefault="00000000" w:rsidRPr="00000000" w14:paraId="00000005">
            <w:pPr>
              <w:spacing w:line="240" w:lineRule="auto"/>
              <w:ind w:left="0" w:hanging="2"/>
              <w:jc w:val="both"/>
              <w:rPr>
                <w:b w:val="1"/>
                <w:i w:val="0"/>
                <w:color w:val="ffffff"/>
                <w:sz w:val="22"/>
                <w:szCs w:val="22"/>
              </w:rPr>
            </w:pPr>
            <w:r w:rsidDel="00000000" w:rsidR="00000000" w:rsidRPr="00000000">
              <w:rPr>
                <w:b w:val="1"/>
                <w:i w:val="0"/>
                <w:color w:val="ffffff"/>
                <w:sz w:val="22"/>
                <w:szCs w:val="22"/>
                <w:rtl w:val="0"/>
              </w:rPr>
              <w:t xml:space="preserve">Contratación del suministro de jeringas precargadas de suero fisiológico tipo Omniflush® con tapón Swabcap® o similar, para los hospitales Coslada y Sant Cugat de ASEPEYO, Mutua Colaboradora con la Seguridad Social nº 151.</w:t>
            </w:r>
            <w:r w:rsidDel="00000000" w:rsidR="00000000" w:rsidRPr="00000000">
              <w:rPr>
                <w:rtl w:val="0"/>
              </w:rPr>
            </w:r>
          </w:p>
          <w:p w:rsidR="00000000" w:rsidDel="00000000" w:rsidP="00000000" w:rsidRDefault="00000000" w:rsidRPr="00000000" w14:paraId="00000006">
            <w:pPr>
              <w:spacing w:line="240" w:lineRule="auto"/>
              <w:ind w:left="0" w:hanging="2"/>
              <w:jc w:val="both"/>
              <w:rPr>
                <w:b w:val="1"/>
                <w:i w:val="0"/>
                <w:color w:val="ffffff"/>
                <w:sz w:val="24"/>
                <w:szCs w:val="24"/>
              </w:rPr>
            </w:pPr>
            <w:r w:rsidDel="00000000" w:rsidR="00000000" w:rsidRPr="00000000">
              <w:rPr>
                <w:rtl w:val="0"/>
              </w:rPr>
            </w:r>
          </w:p>
        </w:tc>
      </w:tr>
    </w:tbl>
    <w:p w:rsidR="00000000" w:rsidDel="00000000" w:rsidP="00000000" w:rsidRDefault="00000000" w:rsidRPr="00000000" w14:paraId="00000007">
      <w:pPr>
        <w:pBdr>
          <w:top w:space="0" w:sz="0" w:val="nil"/>
          <w:left w:space="0" w:sz="0" w:val="nil"/>
          <w:bottom w:space="0" w:sz="0" w:val="nil"/>
          <w:right w:space="0" w:sz="0" w:val="nil"/>
          <w:between w:space="0" w:sz="0" w:val="nil"/>
        </w:pBdr>
        <w:ind w:left="0" w:hanging="2"/>
        <w:jc w:val="both"/>
        <w:rPr>
          <w:b w:val="1"/>
          <w:i w:val="0"/>
          <w:color w:val="000080"/>
          <w:sz w:val="22"/>
          <w:szCs w:val="22"/>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ind w:left="0" w:hanging="2"/>
        <w:jc w:val="both"/>
        <w:rPr>
          <w:b w:val="1"/>
          <w:i w:val="0"/>
          <w:sz w:val="22"/>
          <w:szCs w:val="22"/>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ind w:left="0" w:hanging="2"/>
        <w:jc w:val="both"/>
        <w:rPr>
          <w:b w:val="1"/>
          <w:i w:val="0"/>
          <w:sz w:val="22"/>
          <w:szCs w:val="22"/>
        </w:rPr>
      </w:pPr>
      <w:r w:rsidDel="00000000" w:rsidR="00000000" w:rsidRPr="00000000">
        <w:rPr>
          <w:b w:val="1"/>
          <w:i w:val="0"/>
          <w:sz w:val="22"/>
          <w:szCs w:val="22"/>
          <w:rtl w:val="0"/>
        </w:rPr>
        <w:t xml:space="preserve">1- Datos subcontratación:</w:t>
      </w:r>
    </w:p>
    <w:p w:rsidR="00000000" w:rsidDel="00000000" w:rsidP="00000000" w:rsidRDefault="00000000" w:rsidRPr="00000000" w14:paraId="0000000A">
      <w:pPr>
        <w:pBdr>
          <w:top w:space="0" w:sz="0" w:val="nil"/>
          <w:left w:space="0" w:sz="0" w:val="nil"/>
          <w:bottom w:space="0" w:sz="0" w:val="nil"/>
          <w:right w:space="0" w:sz="0" w:val="nil"/>
          <w:between w:space="0" w:sz="0" w:val="nil"/>
        </w:pBdr>
        <w:ind w:left="0" w:hanging="2"/>
        <w:jc w:val="both"/>
        <w:rPr>
          <w:b w:val="1"/>
          <w:i w:val="0"/>
          <w:color w:val="000080"/>
          <w:sz w:val="22"/>
          <w:szCs w:val="22"/>
        </w:rPr>
      </w:pPr>
      <w:r w:rsidDel="00000000" w:rsidR="00000000" w:rsidRPr="00000000">
        <w:rPr>
          <w:rtl w:val="0"/>
        </w:rPr>
      </w:r>
    </w:p>
    <w:bookmarkStart w:colFirst="0" w:colLast="0" w:name="bookmark=kix.g7ge26cbdlfz" w:id="0"/>
    <w:bookmarkEnd w:id="0"/>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40" w:lineRule="auto"/>
        <w:ind w:left="0" w:hanging="2"/>
        <w:jc w:val="both"/>
        <w:rPr>
          <w:i w:val="0"/>
          <w:color w:val="000000"/>
        </w:rPr>
      </w:pPr>
      <w:r w:rsidDel="00000000" w:rsidR="00000000" w:rsidRPr="00000000">
        <w:rPr>
          <w:rFonts w:ascii="MS Gothic" w:cs="MS Gothic" w:eastAsia="MS Gothic" w:hAnsi="MS Gothic"/>
          <w:b w:val="1"/>
          <w:i w:val="0"/>
          <w:sz w:val="22"/>
          <w:szCs w:val="22"/>
          <w:rtl w:val="0"/>
        </w:rPr>
        <w:t xml:space="preserve">☒</w:t>
      </w:r>
      <w:r w:rsidDel="00000000" w:rsidR="00000000" w:rsidRPr="00000000">
        <w:rPr>
          <w:rFonts w:ascii="MS Gothic" w:cs="MS Gothic" w:eastAsia="MS Gothic" w:hAnsi="MS Gothic"/>
          <w:i w:val="0"/>
          <w:color w:val="000000"/>
          <w:rtl w:val="0"/>
        </w:rPr>
        <w:t xml:space="preserve"> </w:t>
      </w:r>
      <w:r w:rsidDel="00000000" w:rsidR="00000000" w:rsidRPr="00000000">
        <w:rPr>
          <w:i w:val="0"/>
          <w:color w:val="000000"/>
          <w:rtl w:val="0"/>
        </w:rPr>
        <w:t xml:space="preserve">Se permite la subcontratación con los límites que establece la LCSP.</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ind w:left="0" w:hanging="2"/>
        <w:jc w:val="both"/>
        <w:rPr>
          <w:i w:val="0"/>
          <w:color w:val="00000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40" w:lineRule="auto"/>
        <w:ind w:left="0" w:hanging="2"/>
        <w:jc w:val="both"/>
        <w:rPr>
          <w:i w:val="0"/>
          <w:color w:val="00b050"/>
        </w:rPr>
      </w:pPr>
      <w:r w:rsidDel="00000000" w:rsidR="00000000" w:rsidRPr="00000000">
        <w:rPr>
          <w:rFonts w:ascii="MS Gothic" w:cs="MS Gothic" w:eastAsia="MS Gothic" w:hAnsi="MS Gothic"/>
          <w:b w:val="1"/>
          <w:i w:val="0"/>
          <w:color w:val="000000"/>
          <w:rtl w:val="0"/>
        </w:rPr>
        <w:t xml:space="preserve">☐</w:t>
      </w:r>
      <w:r w:rsidDel="00000000" w:rsidR="00000000" w:rsidRPr="00000000">
        <w:rPr>
          <w:rFonts w:ascii="MS Gothic" w:cs="MS Gothic" w:eastAsia="MS Gothic" w:hAnsi="MS Gothic"/>
          <w:i w:val="0"/>
          <w:color w:val="000000"/>
          <w:rtl w:val="0"/>
        </w:rPr>
        <w:t xml:space="preserve"> </w:t>
      </w:r>
      <w:r w:rsidDel="00000000" w:rsidR="00000000" w:rsidRPr="00000000">
        <w:rPr>
          <w:i w:val="0"/>
          <w:color w:val="000000"/>
          <w:rtl w:val="0"/>
        </w:rPr>
        <w:t xml:space="preserve">Se permite la subcontratación, salvo para las </w:t>
      </w:r>
      <w:r w:rsidDel="00000000" w:rsidR="00000000" w:rsidRPr="00000000">
        <w:rPr>
          <w:i w:val="0"/>
          <w:color w:val="000000"/>
          <w:u w:val="single"/>
          <w:rtl w:val="0"/>
        </w:rPr>
        <w:t xml:space="preserve">tareas críticas</w:t>
      </w:r>
      <w:r w:rsidDel="00000000" w:rsidR="00000000" w:rsidRPr="00000000">
        <w:rPr>
          <w:i w:val="0"/>
          <w:color w:val="000000"/>
          <w:rtl w:val="0"/>
        </w:rPr>
        <w:t xml:space="preserve"> que se indican a continuación, que no pueden ser objeto de subcontratación por lo que </w:t>
      </w:r>
      <w:r w:rsidDel="00000000" w:rsidR="00000000" w:rsidRPr="00000000">
        <w:rPr>
          <w:i w:val="0"/>
          <w:color w:val="000000"/>
          <w:u w:val="single"/>
          <w:rtl w:val="0"/>
        </w:rPr>
        <w:t xml:space="preserve">deben ser ejecutadas directamente por el contratista principal</w:t>
      </w:r>
      <w:r w:rsidDel="00000000" w:rsidR="00000000" w:rsidRPr="00000000">
        <w:rPr>
          <w:i w:val="0"/>
          <w:color w:val="000000"/>
          <w:rtl w:val="0"/>
        </w:rPr>
        <w:t xml:space="preserve">:</w:t>
      </w:r>
      <w:r w:rsidDel="00000000" w:rsidR="00000000" w:rsidRPr="00000000">
        <w:rPr>
          <w:rtl w:val="0"/>
        </w:rPr>
      </w:r>
    </w:p>
    <w:p w:rsidR="00000000" w:rsidDel="00000000" w:rsidP="00000000" w:rsidRDefault="00000000" w:rsidRPr="00000000" w14:paraId="0000000E">
      <w:pPr>
        <w:spacing w:line="240" w:lineRule="auto"/>
        <w:ind w:left="0" w:hanging="2"/>
        <w:jc w:val="both"/>
        <w:rPr>
          <w:i w:val="0"/>
          <w:color w:val="00b050"/>
        </w:rPr>
      </w:pPr>
      <w:bookmarkStart w:colFirst="0" w:colLast="0" w:name="_heading=h.ye0mh8mokasm" w:id="1"/>
      <w:bookmarkEnd w:id="1"/>
      <w:r w:rsidDel="00000000" w:rsidR="00000000" w:rsidRPr="00000000">
        <w:rPr>
          <w:rtl w:val="0"/>
        </w:rPr>
      </w:r>
    </w:p>
    <w:p w:rsidR="00000000" w:rsidDel="00000000" w:rsidP="00000000" w:rsidRDefault="00000000" w:rsidRPr="00000000" w14:paraId="0000000F">
      <w:pPr>
        <w:spacing w:line="240" w:lineRule="auto"/>
        <w:ind w:left="0" w:hanging="2"/>
        <w:jc w:val="both"/>
        <w:rPr>
          <w:i w:val="0"/>
          <w:color w:val="00b050"/>
        </w:rPr>
      </w:pPr>
      <w:bookmarkStart w:colFirst="0" w:colLast="0" w:name="_heading=h.wmm86xmp6cf4" w:id="2"/>
      <w:bookmarkEnd w:id="2"/>
      <w:r w:rsidDel="00000000" w:rsidR="00000000" w:rsidRPr="00000000">
        <w:rPr>
          <w:rtl w:val="0"/>
        </w:rPr>
      </w:r>
    </w:p>
    <w:p w:rsidR="00000000" w:rsidDel="00000000" w:rsidP="00000000" w:rsidRDefault="00000000" w:rsidRPr="00000000" w14:paraId="00000010">
      <w:pPr>
        <w:ind w:left="0" w:hanging="2"/>
        <w:jc w:val="both"/>
        <w:rPr>
          <w:b w:val="1"/>
          <w:i w:val="0"/>
          <w:sz w:val="22"/>
          <w:szCs w:val="22"/>
        </w:rPr>
      </w:pPr>
      <w:r w:rsidDel="00000000" w:rsidR="00000000" w:rsidRPr="00000000">
        <w:rPr>
          <w:b w:val="1"/>
          <w:i w:val="0"/>
          <w:sz w:val="22"/>
          <w:szCs w:val="22"/>
          <w:rtl w:val="0"/>
        </w:rPr>
        <w:t xml:space="preserve">2- Justificación lote único:</w:t>
      </w:r>
    </w:p>
    <w:p w:rsidR="00000000" w:rsidDel="00000000" w:rsidP="00000000" w:rsidRDefault="00000000" w:rsidRPr="00000000" w14:paraId="00000011">
      <w:pPr>
        <w:ind w:left="0" w:hanging="2"/>
        <w:jc w:val="both"/>
        <w:rPr>
          <w:b w:val="1"/>
          <w:i w:val="0"/>
          <w:sz w:val="22"/>
          <w:szCs w:val="22"/>
        </w:rPr>
      </w:pPr>
      <w:r w:rsidDel="00000000" w:rsidR="00000000" w:rsidRPr="00000000">
        <w:rPr>
          <w:rtl w:val="0"/>
        </w:rPr>
      </w:r>
    </w:p>
    <w:p w:rsidR="00000000" w:rsidDel="00000000" w:rsidP="00000000" w:rsidRDefault="00000000" w:rsidRPr="00000000" w14:paraId="00000012">
      <w:pPr>
        <w:ind w:left="0" w:hanging="2"/>
        <w:jc w:val="both"/>
        <w:rPr>
          <w:i w:val="0"/>
        </w:rPr>
      </w:pPr>
      <w:r w:rsidDel="00000000" w:rsidR="00000000" w:rsidRPr="00000000">
        <w:rPr>
          <w:rFonts w:ascii="MS Gothic" w:cs="MS Gothic" w:eastAsia="MS Gothic" w:hAnsi="MS Gothic"/>
          <w:b w:val="1"/>
          <w:i w:val="0"/>
          <w:rtl w:val="0"/>
        </w:rPr>
        <w:t xml:space="preserve">☐</w:t>
      </w:r>
      <w:r w:rsidDel="00000000" w:rsidR="00000000" w:rsidRPr="00000000">
        <w:rPr>
          <w:rFonts w:ascii="MS Gothic" w:cs="MS Gothic" w:eastAsia="MS Gothic" w:hAnsi="MS Gothic"/>
          <w:i w:val="0"/>
          <w:rtl w:val="0"/>
        </w:rPr>
        <w:t xml:space="preserve"> </w:t>
      </w:r>
      <w:r w:rsidDel="00000000" w:rsidR="00000000" w:rsidRPr="00000000">
        <w:rPr>
          <w:i w:val="0"/>
          <w:rtl w:val="0"/>
        </w:rPr>
        <w:t xml:space="preserve">Misma familia. Son productos de una sola familia y se ha optado por hacer un único lote.</w:t>
      </w:r>
    </w:p>
    <w:p w:rsidR="00000000" w:rsidDel="00000000" w:rsidP="00000000" w:rsidRDefault="00000000" w:rsidRPr="00000000" w14:paraId="00000013">
      <w:pPr>
        <w:ind w:left="0" w:hanging="2"/>
        <w:jc w:val="both"/>
        <w:rPr>
          <w:i w:val="0"/>
        </w:rPr>
      </w:pPr>
      <w:r w:rsidDel="00000000" w:rsidR="00000000" w:rsidRPr="00000000">
        <w:rPr>
          <w:rtl w:val="0"/>
        </w:rPr>
      </w:r>
    </w:p>
    <w:p w:rsidR="00000000" w:rsidDel="00000000" w:rsidP="00000000" w:rsidRDefault="00000000" w:rsidRPr="00000000" w14:paraId="00000014">
      <w:pPr>
        <w:ind w:left="0" w:hanging="2"/>
        <w:jc w:val="both"/>
        <w:rPr>
          <w:i w:val="0"/>
        </w:rPr>
      </w:pPr>
      <w:r w:rsidDel="00000000" w:rsidR="00000000" w:rsidRPr="00000000">
        <w:rPr>
          <w:rFonts w:ascii="MS Gothic" w:cs="MS Gothic" w:eastAsia="MS Gothic" w:hAnsi="MS Gothic"/>
          <w:b w:val="1"/>
          <w:i w:val="0"/>
          <w:rtl w:val="0"/>
        </w:rPr>
        <w:t xml:space="preserve">☐</w:t>
      </w:r>
      <w:r w:rsidDel="00000000" w:rsidR="00000000" w:rsidRPr="00000000">
        <w:rPr>
          <w:rFonts w:ascii="MS Gothic" w:cs="MS Gothic" w:eastAsia="MS Gothic" w:hAnsi="MS Gothic"/>
          <w:i w:val="0"/>
          <w:rtl w:val="0"/>
        </w:rPr>
        <w:t xml:space="preserve"> </w:t>
      </w:r>
      <w:r w:rsidDel="00000000" w:rsidR="00000000" w:rsidRPr="00000000">
        <w:rPr>
          <w:i w:val="0"/>
          <w:rtl w:val="0"/>
        </w:rPr>
        <w:t xml:space="preserve">Se justifica la no división de lotes, para facilitar el control y gestión del mismo, ya que la propia naturaleza del objeto del contrato dificulta el fraccionamiento del mismo en varios lotes. Por otro lado además se considera que reportará una mejor optimización, eficiencia y control del propio expediente debido a que se dispondrá de una única organización y por lo tanto, una única responsabilidad sobre la ejecución del contrato.</w:t>
      </w:r>
    </w:p>
    <w:p w:rsidR="00000000" w:rsidDel="00000000" w:rsidP="00000000" w:rsidRDefault="00000000" w:rsidRPr="00000000" w14:paraId="00000015">
      <w:pPr>
        <w:ind w:left="0" w:hanging="2"/>
        <w:jc w:val="both"/>
        <w:rPr>
          <w:i w:val="0"/>
        </w:rPr>
      </w:pPr>
      <w:r w:rsidDel="00000000" w:rsidR="00000000" w:rsidRPr="00000000">
        <w:rPr>
          <w:rtl w:val="0"/>
        </w:rPr>
      </w:r>
    </w:p>
    <w:p w:rsidR="00000000" w:rsidDel="00000000" w:rsidP="00000000" w:rsidRDefault="00000000" w:rsidRPr="00000000" w14:paraId="00000016">
      <w:pPr>
        <w:ind w:left="0" w:hanging="2"/>
        <w:jc w:val="both"/>
        <w:rPr>
          <w:i w:val="0"/>
          <w:color w:val="00b050"/>
        </w:rPr>
      </w:pPr>
      <w:bookmarkStart w:colFirst="0" w:colLast="0" w:name="_heading=h.30j0zll" w:id="3"/>
      <w:bookmarkEnd w:id="3"/>
      <w:r w:rsidDel="00000000" w:rsidR="00000000" w:rsidRPr="00000000">
        <w:rPr>
          <w:rFonts w:ascii="MS Gothic" w:cs="MS Gothic" w:eastAsia="MS Gothic" w:hAnsi="MS Gothic"/>
          <w:b w:val="1"/>
          <w:i w:val="0"/>
          <w:sz w:val="22"/>
          <w:szCs w:val="22"/>
          <w:rtl w:val="0"/>
        </w:rPr>
        <w:t xml:space="preserve">☒</w:t>
      </w:r>
      <w:r w:rsidDel="00000000" w:rsidR="00000000" w:rsidRPr="00000000">
        <w:rPr>
          <w:rFonts w:ascii="MS Gothic" w:cs="MS Gothic" w:eastAsia="MS Gothic" w:hAnsi="MS Gothic"/>
          <w:i w:val="0"/>
          <w:rtl w:val="0"/>
        </w:rPr>
        <w:t xml:space="preserve">  </w:t>
      </w:r>
      <w:r w:rsidDel="00000000" w:rsidR="00000000" w:rsidRPr="00000000">
        <w:rPr>
          <w:i w:val="0"/>
          <w:rtl w:val="0"/>
        </w:rPr>
        <w:t xml:space="preserve">Otras:</w:t>
      </w:r>
      <w:r w:rsidDel="00000000" w:rsidR="00000000" w:rsidRPr="00000000">
        <w:rPr>
          <w:color w:val="000000"/>
          <w:rtl w:val="0"/>
        </w:rPr>
        <w:t xml:space="preserve"> </w:t>
      </w:r>
      <w:r w:rsidDel="00000000" w:rsidR="00000000" w:rsidRPr="00000000">
        <w:rPr>
          <w:i w:val="0"/>
          <w:color w:val="000000"/>
          <w:rtl w:val="0"/>
        </w:rPr>
        <w:t xml:space="preserve">Es un único producto</w:t>
      </w:r>
      <w:r w:rsidDel="00000000" w:rsidR="00000000" w:rsidRPr="00000000">
        <w:rPr>
          <w:rtl w:val="0"/>
        </w:rPr>
      </w:r>
    </w:p>
    <w:p w:rsidR="00000000" w:rsidDel="00000000" w:rsidP="00000000" w:rsidRDefault="00000000" w:rsidRPr="00000000" w14:paraId="00000017">
      <w:pPr>
        <w:ind w:left="0" w:hanging="2"/>
        <w:jc w:val="both"/>
        <w:rPr>
          <w:i w:val="0"/>
        </w:rPr>
      </w:pPr>
      <w:r w:rsidDel="00000000" w:rsidR="00000000" w:rsidRPr="00000000">
        <w:rPr>
          <w:rtl w:val="0"/>
        </w:rPr>
      </w:r>
    </w:p>
    <w:p w:rsidR="00000000" w:rsidDel="00000000" w:rsidP="00000000" w:rsidRDefault="00000000" w:rsidRPr="00000000" w14:paraId="00000018">
      <w:pPr>
        <w:ind w:left="0" w:hanging="2"/>
        <w:jc w:val="both"/>
        <w:rPr>
          <w:b w:val="1"/>
          <w:i w:val="0"/>
          <w:sz w:val="22"/>
          <w:szCs w:val="22"/>
        </w:rPr>
      </w:pPr>
      <w:r w:rsidDel="00000000" w:rsidR="00000000" w:rsidRPr="00000000">
        <w:rPr>
          <w:rtl w:val="0"/>
        </w:rPr>
      </w:r>
    </w:p>
    <w:p w:rsidR="00000000" w:rsidDel="00000000" w:rsidP="00000000" w:rsidRDefault="00000000" w:rsidRPr="00000000" w14:paraId="00000019">
      <w:pPr>
        <w:spacing w:line="240" w:lineRule="auto"/>
        <w:ind w:left="0" w:hanging="2"/>
        <w:jc w:val="both"/>
        <w:rPr>
          <w:i w:val="0"/>
          <w:color w:val="00b050"/>
        </w:rPr>
      </w:pPr>
      <w:bookmarkStart w:colFirst="0" w:colLast="0" w:name="_heading=h.5awc64cmke7e" w:id="4"/>
      <w:bookmarkEnd w:id="4"/>
      <w:r w:rsidDel="00000000" w:rsidR="00000000" w:rsidRPr="00000000">
        <w:rPr>
          <w:rtl w:val="0"/>
        </w:rPr>
      </w:r>
    </w:p>
    <w:sectPr>
      <w:pgSz w:h="16838" w:w="11906" w:orient="portrait"/>
      <w:pgMar w:bottom="1417" w:top="709"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MS Gothic"/>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lang w:val="es-ES"/>
      </w:rPr>
    </w:rPrDefault>
    <w:pPrDefault>
      <w:pPr>
        <w:spacing w:line="276"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rsid w:val="009E69BA"/>
    <w:pPr>
      <w:suppressAutoHyphens w:val="1"/>
      <w:spacing w:line="1" w:lineRule="atLeast"/>
      <w:ind w:left="-1" w:leftChars="-1" w:hangingChars="1"/>
      <w:textDirection w:val="btLr"/>
      <w:textAlignment w:val="top"/>
      <w:outlineLvl w:val="0"/>
    </w:pPr>
    <w:rPr>
      <w:position w:val="-1"/>
    </w:rPr>
  </w:style>
  <w:style w:type="paragraph" w:styleId="Ttulo1">
    <w:name w:val="heading 1"/>
    <w:basedOn w:val="Normal"/>
    <w:next w:val="Normal"/>
    <w:pPr>
      <w:keepNext w:val="1"/>
      <w:keepLines w:val="1"/>
      <w:spacing w:after="120" w:before="48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sz w:val="22"/>
      <w:szCs w:val="22"/>
    </w:rPr>
  </w:style>
  <w:style w:type="paragraph" w:styleId="Ttulo6">
    <w:name w:val="heading 6"/>
    <w:basedOn w:val="Normal"/>
    <w:next w:val="Normal"/>
    <w:pPr>
      <w:keepNext w:val="1"/>
      <w:keepLines w:val="1"/>
      <w:spacing w:after="40" w:before="200"/>
      <w:outlineLvl w:val="5"/>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paragraph" w:styleId="Prrafodelista">
    <w:name w:val="List Paragraph"/>
    <w:basedOn w:val="Normal"/>
    <w:uiPriority w:val="34"/>
    <w:qFormat w:val="1"/>
    <w:rsid w:val="009E69BA"/>
    <w:pPr>
      <w:ind w:left="720"/>
      <w:contextualSpacing w:val="1"/>
    </w:pPr>
  </w:style>
  <w:style w:type="paragraph" w:styleId="Subttulo">
    <w:name w:val="Subtitle"/>
    <w:basedOn w:val="Normal"/>
    <w:next w:val="Normal"/>
    <w:pPr>
      <w:keepNext w:val="1"/>
      <w:keepLines w:val="1"/>
      <w:spacing w:after="80" w:before="360"/>
    </w:pPr>
    <w:rPr>
      <w:rFonts w:ascii="Georgia" w:cs="Georgia" w:eastAsia="Georgia" w:hAnsi="Georgia"/>
      <w:color w:val="666666"/>
      <w:sz w:val="48"/>
      <w:szCs w:val="48"/>
    </w:rPr>
  </w:style>
  <w:style w:type="table" w:styleId="a" w:customSty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t6EcyJTmwn9tnVZK4OUS6C9oJA==">CgMxLjAyEGtpeC5nN2dlMjZjYmRsZnoyDmgueWUwbWg4bW9rYXNtMg5oLndtbTg2eG1wNmNmNDIJaC4zMGowemxsMg5oLjVhd2M2NGNta2U3ZTgAciExWFZyaERfcjdrenJ3NmcxR0hqVk0zNGtTejVTcVI1R0U=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2024-05-03T08:14:00Z</dcterms:created>
  <dc:creator>LIDIA CORTES MORALES</dc:creator>
</cp:coreProperties>
</file>